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38B3" w14:textId="101F2A69" w:rsidR="0024175C" w:rsidRDefault="00A71007" w:rsidP="00CC33E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已接受服務</w:t>
      </w:r>
      <w:r w:rsidR="00B83A56" w:rsidRPr="006A4805">
        <w:rPr>
          <w:rFonts w:ascii="標楷體" w:eastAsia="標楷體" w:hAnsi="標楷體" w:hint="eastAsia"/>
          <w:sz w:val="32"/>
          <w:szCs w:val="32"/>
        </w:rPr>
        <w:t>國</w:t>
      </w:r>
      <w:r w:rsidR="00B83A56">
        <w:rPr>
          <w:rFonts w:ascii="標楷體" w:eastAsia="標楷體" w:hAnsi="標楷體" w:hint="eastAsia"/>
          <w:sz w:val="32"/>
          <w:szCs w:val="32"/>
        </w:rPr>
        <w:t>中</w:t>
      </w:r>
      <w:r w:rsidR="0001365A">
        <w:rPr>
          <w:rFonts w:ascii="標楷體" w:eastAsia="標楷體" w:hAnsi="標楷體" w:hint="eastAsia"/>
          <w:sz w:val="32"/>
          <w:szCs w:val="32"/>
        </w:rPr>
        <w:t>特教應屆</w:t>
      </w:r>
      <w:r w:rsidR="00CC33E6" w:rsidRPr="006A4805">
        <w:rPr>
          <w:rFonts w:ascii="標楷體" w:eastAsia="標楷體" w:hAnsi="標楷體" w:hint="eastAsia"/>
          <w:sz w:val="32"/>
          <w:szCs w:val="32"/>
        </w:rPr>
        <w:t>畢業</w:t>
      </w:r>
      <w:r w:rsidR="0001365A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鑑定結果為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非特教生</w:t>
      </w:r>
      <w:proofErr w:type="gramEnd"/>
      <w:r w:rsidR="00CC33E6" w:rsidRPr="006A4805">
        <w:rPr>
          <w:rFonts w:ascii="標楷體" w:eastAsia="標楷體" w:hAnsi="標楷體" w:hint="eastAsia"/>
          <w:sz w:val="32"/>
          <w:szCs w:val="32"/>
        </w:rPr>
        <w:t>的升學轉銜</w:t>
      </w:r>
      <w:r w:rsidR="00FD0DA8" w:rsidRPr="006A4805">
        <w:rPr>
          <w:rFonts w:ascii="標楷體" w:eastAsia="標楷體" w:hAnsi="標楷體" w:hint="eastAsia"/>
          <w:sz w:val="32"/>
          <w:szCs w:val="32"/>
        </w:rPr>
        <w:t>疑問</w:t>
      </w:r>
    </w:p>
    <w:p w14:paraId="72BAACDE" w14:textId="66499F3F" w:rsidR="00A71007" w:rsidRDefault="00A71007" w:rsidP="00A71007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023/11/23</w:t>
      </w:r>
    </w:p>
    <w:p w14:paraId="316F2E05" w14:textId="59CF3941" w:rsidR="00A71007" w:rsidRDefault="00A71007" w:rsidP="00A71007">
      <w:pPr>
        <w:wordWrap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洽詢專線：高雄市特殊教育資源中心 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電話：</w:t>
      </w:r>
      <w:r w:rsidR="001D10AD">
        <w:rPr>
          <w:rFonts w:ascii="標楷體" w:eastAsia="標楷體" w:hAnsi="標楷體" w:hint="eastAsia"/>
          <w:sz w:val="32"/>
          <w:szCs w:val="32"/>
        </w:rPr>
        <w:t>2624900</w:t>
      </w:r>
      <w:r>
        <w:rPr>
          <w:rFonts w:ascii="標楷體" w:eastAsia="標楷體" w:hAnsi="標楷體" w:hint="eastAsia"/>
          <w:sz w:val="32"/>
          <w:szCs w:val="32"/>
        </w:rPr>
        <w:t>轉</w:t>
      </w:r>
      <w:r w:rsidR="001D10AD">
        <w:rPr>
          <w:rFonts w:ascii="標楷體" w:eastAsia="標楷體" w:hAnsi="標楷體" w:hint="eastAsia"/>
          <w:sz w:val="32"/>
          <w:szCs w:val="32"/>
        </w:rPr>
        <w:t>51-53</w:t>
      </w:r>
    </w:p>
    <w:p w14:paraId="5C73ECA0" w14:textId="77777777" w:rsidR="00A71007" w:rsidRPr="00A71007" w:rsidRDefault="00A71007" w:rsidP="00CC33E6">
      <w:pPr>
        <w:jc w:val="center"/>
        <w:rPr>
          <w:rFonts w:ascii="標楷體" w:eastAsia="標楷體" w:hAnsi="標楷體"/>
          <w:sz w:val="32"/>
          <w:szCs w:val="32"/>
        </w:rPr>
      </w:pPr>
    </w:p>
    <w:p w14:paraId="6F201BDB" w14:textId="63CD4A8C" w:rsidR="00793F89" w:rsidRDefault="00A71007" w:rsidP="00793F8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常見家長疑問</w:t>
      </w:r>
      <w:r w:rsidR="001967CB">
        <w:rPr>
          <w:rFonts w:ascii="標楷體" w:eastAsia="標楷體" w:hAnsi="標楷體" w:hint="eastAsia"/>
          <w:sz w:val="32"/>
          <w:szCs w:val="32"/>
        </w:rPr>
        <w:t>（煩請各校業務承辦人協助轉知家長）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3F89" w14:paraId="48E08DAC" w14:textId="77777777" w:rsidTr="00793F89">
        <w:tc>
          <w:tcPr>
            <w:tcW w:w="10456" w:type="dxa"/>
          </w:tcPr>
          <w:p w14:paraId="6D986E9A" w14:textId="4DE57EBB" w:rsidR="00793F89" w:rsidRPr="00391A68" w:rsidRDefault="00793F89" w:rsidP="00793F89">
            <w:pP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391A6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Q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 xml:space="preserve"> :我的孩子未通過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跨階段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鑑定安置，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學校內的考試服務或成績會不會有影響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?</w:t>
            </w:r>
          </w:p>
          <w:p w14:paraId="5E2191BB" w14:textId="274E1970" w:rsidR="00793F89" w:rsidRPr="00793F89" w:rsidRDefault="00793F89" w:rsidP="00B83A56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A:</w:t>
            </w:r>
            <w:r w:rsidRPr="009E09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74C1">
              <w:rPr>
                <w:rFonts w:ascii="標楷體" w:eastAsia="標楷體" w:hAnsi="標楷體" w:hint="eastAsia"/>
                <w:sz w:val="28"/>
                <w:szCs w:val="28"/>
              </w:rPr>
              <w:t>跨教育階段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鑑定安置目的是</w:t>
            </w:r>
            <w:r w:rsidR="00266434">
              <w:rPr>
                <w:rFonts w:ascii="標楷體" w:eastAsia="標楷體" w:hAnsi="標楷體" w:hint="eastAsia"/>
                <w:sz w:val="28"/>
                <w:szCs w:val="28"/>
              </w:rPr>
              <w:t>了解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孩子未來進入高中階段的特殊教育需求，在國中畢業前都仍具有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輔會之前核發的特殊教育身分與對應服務。貴子弟雖然沒有在本次鑑定中取得未來高中階段的特殊教育身分，但有效期限內的</w:t>
            </w:r>
            <w:r w:rsidRPr="009E09D6">
              <w:rPr>
                <w:rFonts w:ascii="標楷體" w:eastAsia="標楷體" w:hAnsi="標楷體" w:hint="eastAsia"/>
                <w:sz w:val="28"/>
                <w:szCs w:val="28"/>
              </w:rPr>
              <w:t>特殊教育身分與服務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在國中畢業前依舊存在，所以</w:t>
            </w:r>
            <w:r w:rsidRPr="00B83A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原有的考試服務與成績評量，仍依照已擬定的個別化教育計畫執行，不受影響</w:t>
            </w:r>
            <w:r w:rsidR="00AA35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。若原本就有申請其他的特教服務，例如專業團隊、</w:t>
            </w:r>
            <w:r w:rsidR="00AA3597" w:rsidRPr="00AA35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教育及運動輔具服務</w:t>
            </w:r>
            <w:r w:rsidR="00AA35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等，依舊正常維持至畢業。</w:t>
            </w:r>
          </w:p>
        </w:tc>
      </w:tr>
      <w:tr w:rsidR="00793F89" w14:paraId="67183905" w14:textId="77777777" w:rsidTr="00793F89">
        <w:tc>
          <w:tcPr>
            <w:tcW w:w="10456" w:type="dxa"/>
          </w:tcPr>
          <w:p w14:paraId="580DC78D" w14:textId="6FF70681" w:rsidR="00266434" w:rsidRPr="008A74C1" w:rsidRDefault="00266434" w:rsidP="002664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74C1">
              <w:rPr>
                <w:rFonts w:ascii="標楷體" w:eastAsia="標楷體" w:hAnsi="標楷體" w:hint="eastAsia"/>
                <w:sz w:val="28"/>
                <w:szCs w:val="28"/>
              </w:rPr>
              <w:t>Q:我的孩子未通過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跨階段</w:t>
            </w:r>
            <w:r w:rsidRPr="008A74C1">
              <w:rPr>
                <w:rFonts w:ascii="標楷體" w:eastAsia="標楷體" w:hAnsi="標楷體" w:hint="eastAsia"/>
                <w:sz w:val="28"/>
                <w:szCs w:val="28"/>
              </w:rPr>
              <w:t>鑑定安置，高中職的升學怎麼辦?</w:t>
            </w:r>
          </w:p>
          <w:p w14:paraId="69A7D80C" w14:textId="274C761D" w:rsidR="00793F89" w:rsidRPr="00266434" w:rsidRDefault="00266434" w:rsidP="00B83A56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8A74C1">
              <w:rPr>
                <w:rFonts w:ascii="標楷體" w:eastAsia="標楷體" w:hAnsi="標楷體" w:hint="eastAsia"/>
                <w:sz w:val="28"/>
                <w:szCs w:val="28"/>
              </w:rPr>
              <w:t>A: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學生報名</w:t>
            </w:r>
            <w:r w:rsidRPr="008A74C1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A71007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Pr="008A74C1">
              <w:rPr>
                <w:rFonts w:ascii="標楷體" w:eastAsia="標楷體" w:hAnsi="標楷體" w:hint="eastAsia"/>
                <w:sz w:val="28"/>
                <w:szCs w:val="28"/>
              </w:rPr>
              <w:t>多元入學管道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時，因在期程內仍具特殊教育身分，所以仍然適用《</w:t>
            </w:r>
            <w:r w:rsidRPr="00B653CF">
              <w:rPr>
                <w:rFonts w:ascii="標楷體" w:eastAsia="標楷體" w:hAnsi="標楷體" w:hint="eastAsia"/>
                <w:sz w:val="28"/>
                <w:szCs w:val="28"/>
              </w:rPr>
              <w:t>身心障礙學生升學輔導辦法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》而</w:t>
            </w:r>
            <w:r w:rsidRPr="00B83A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享有各加分優待與外加錄取名額，不受本次鑑定安置結果影響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。只有</w:t>
            </w:r>
            <w:r w:rsidRPr="00B653CF">
              <w:rPr>
                <w:rFonts w:ascii="標楷體" w:eastAsia="標楷體" w:hAnsi="標楷體" w:hint="eastAsia"/>
                <w:sz w:val="28"/>
                <w:szCs w:val="28"/>
              </w:rPr>
              <w:t>身心障礙學生適性輔導安置</w:t>
            </w:r>
            <w:r w:rsidR="00B83A56">
              <w:rPr>
                <w:rFonts w:ascii="標楷體" w:eastAsia="標楷體" w:hAnsi="標楷體" w:hint="eastAsia"/>
                <w:sz w:val="28"/>
                <w:szCs w:val="28"/>
              </w:rPr>
              <w:t>入學管道因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是規劃給身心障礙學生就讀用，故不開放給非身心障礙學生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(跨階段鑑定安置未通過之特殊學生)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報名。</w:t>
            </w:r>
          </w:p>
        </w:tc>
      </w:tr>
      <w:tr w:rsidR="00793F89" w14:paraId="5394FEC6" w14:textId="77777777" w:rsidTr="00793F89">
        <w:tc>
          <w:tcPr>
            <w:tcW w:w="10456" w:type="dxa"/>
          </w:tcPr>
          <w:p w14:paraId="7FE8A752" w14:textId="1E4B25BE" w:rsidR="00266434" w:rsidRPr="00391A68" w:rsidRDefault="00266434" w:rsidP="00266434">
            <w:pP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391A6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Q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 xml:space="preserve"> :我的孩子未通過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跨階段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鑑定安置，參加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國中教育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會考時能不能申請特殊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服務?</w:t>
            </w:r>
          </w:p>
          <w:p w14:paraId="27506DE7" w14:textId="6F0BCD32" w:rsidR="00793F89" w:rsidRPr="00266434" w:rsidRDefault="00266434" w:rsidP="00BE778C">
            <w:pPr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A: 依據《身心障礙學生考試服務辦法》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，身心障礙學生應考可申請考試服務，並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以個別化教育計畫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(IEP)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內容做為申請的佐證依據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。所以本次國三特教學生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即使</w:t>
            </w:r>
            <w:r w:rsidRPr="00BE778C">
              <w:rPr>
                <w:rFonts w:ascii="標楷體" w:eastAsia="標楷體" w:hAnsi="標楷體" w:hint="eastAsia"/>
                <w:strike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鑑定為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非特教生，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</w:t>
            </w:r>
            <w:r w:rsid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特</w:t>
            </w:r>
            <w:proofErr w:type="gramEnd"/>
            <w:r w:rsid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教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身分</w:t>
            </w:r>
            <w:r w:rsidRPr="00BE778C">
              <w:rPr>
                <w:rFonts w:ascii="標楷體" w:eastAsia="標楷體" w:hAnsi="標楷體" w:hint="eastAsia"/>
                <w:strike/>
                <w:sz w:val="28"/>
                <w:szCs w:val="28"/>
              </w:rPr>
              <w:t>也須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113年7月才取消，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而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國中教育會考於113年5月辦理，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還在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特教身分有效期限內。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故可依</w:t>
            </w:r>
            <w:r w:rsidRPr="00793F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考試服務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辦法持IEP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、</w:t>
            </w:r>
            <w:proofErr w:type="gramStart"/>
            <w:r w:rsidRPr="00391A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特推會</w:t>
            </w:r>
            <w:proofErr w:type="gramEnd"/>
            <w:r w:rsidRPr="00391A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紀錄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等做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為申請國中教育會考試服務依據，不受此次鑑定安置結果影響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。只要備妥相關資料，由各校註冊組送件至高雄市考區試</w:t>
            </w:r>
            <w:proofErr w:type="gramStart"/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會審查通過後即可適用。</w:t>
            </w:r>
          </w:p>
        </w:tc>
      </w:tr>
      <w:tr w:rsidR="00793F89" w:rsidRPr="00B83A56" w14:paraId="6BF8A96F" w14:textId="77777777" w:rsidTr="00793F89">
        <w:tc>
          <w:tcPr>
            <w:tcW w:w="10456" w:type="dxa"/>
          </w:tcPr>
          <w:p w14:paraId="71967BFA" w14:textId="51BE929C" w:rsidR="00266434" w:rsidRPr="00391A68" w:rsidRDefault="00266434" w:rsidP="00266434">
            <w:pP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4.</w:t>
            </w:r>
            <w:r w:rsidRPr="00C11C5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91A68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Q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 xml:space="preserve"> :我的孩子未通過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跨階段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鑑定安置，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升上高中後</w:t>
            </w:r>
            <w:r w:rsidR="00B83A56">
              <w:rPr>
                <w:rFonts w:ascii="標楷體" w:eastAsia="標楷體" w:hAnsi="標楷體" w:hint="eastAsia"/>
                <w:sz w:val="28"/>
                <w:szCs w:val="28"/>
              </w:rPr>
              <w:t>如果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不適應</w:t>
            </w:r>
            <w:r w:rsidR="00B83A56">
              <w:rPr>
                <w:rFonts w:ascii="標楷體" w:eastAsia="標楷體" w:hAnsi="標楷體" w:hint="eastAsia"/>
                <w:sz w:val="28"/>
                <w:szCs w:val="28"/>
              </w:rPr>
              <w:t>或有困難，該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怎麼辦</w:t>
            </w:r>
            <w:r w:rsidRPr="00391A68">
              <w:rPr>
                <w:rFonts w:ascii="標楷體" w:eastAsia="標楷體" w:hAnsi="標楷體" w:hint="eastAsia"/>
                <w:sz w:val="28"/>
                <w:szCs w:val="28"/>
              </w:rPr>
              <w:t>?</w:t>
            </w:r>
          </w:p>
          <w:p w14:paraId="15FED331" w14:textId="6236A702" w:rsidR="00793F89" w:rsidRPr="00266434" w:rsidRDefault="00266434" w:rsidP="00793F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A:貴子弟升上高中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職</w:t>
            </w:r>
            <w:r w:rsidR="00B83A56">
              <w:rPr>
                <w:rFonts w:ascii="標楷體" w:eastAsia="標楷體" w:hAnsi="標楷體" w:hint="eastAsia"/>
                <w:sz w:val="28"/>
                <w:szCs w:val="28"/>
              </w:rPr>
              <w:t>階段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後，如果學校適應與學業成績有困難，仍可以跟國小與國中階段一樣，與學校的導師及輔導室討論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進行相關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諮詢與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輔導，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若評估結果</w:t>
            </w:r>
            <w:proofErr w:type="gramStart"/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仍須特教</w:t>
            </w:r>
            <w:proofErr w:type="gramEnd"/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服務</w:t>
            </w:r>
            <w:r w:rsidR="00BE778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B83A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可由高中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職</w:t>
            </w:r>
            <w:r w:rsidRPr="00B83A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階段的教師為您的孩子提報高中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職</w:t>
            </w:r>
            <w:r w:rsidR="00B83A56" w:rsidRPr="00B83A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階段</w:t>
            </w:r>
            <w:r w:rsidRPr="00B83A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身心障礙</w:t>
            </w:r>
            <w:r w:rsidR="00B83A56" w:rsidRPr="00B83A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學生</w:t>
            </w:r>
            <w:r w:rsidRPr="00B83A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鑑定安置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A43F5A" w:rsidRPr="00B83A56" w14:paraId="66AC35C6" w14:textId="77777777" w:rsidTr="00793F89">
        <w:tc>
          <w:tcPr>
            <w:tcW w:w="10456" w:type="dxa"/>
          </w:tcPr>
          <w:p w14:paraId="2F54ADC0" w14:textId="19AD71A9" w:rsidR="00A43F5A" w:rsidRPr="008A74C1" w:rsidRDefault="00A43F5A" w:rsidP="00A43F5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A74C1">
              <w:rPr>
                <w:rFonts w:ascii="標楷體" w:eastAsia="標楷體" w:hAnsi="標楷體" w:hint="eastAsia"/>
                <w:sz w:val="28"/>
                <w:szCs w:val="28"/>
              </w:rPr>
              <w:t>.Q:我的孩子未通過鑑定安置，高中職的升學怎麼辦?</w:t>
            </w:r>
          </w:p>
          <w:p w14:paraId="59982330" w14:textId="4C619AAA" w:rsidR="00A43F5A" w:rsidRPr="00A43F5A" w:rsidRDefault="00A43F5A" w:rsidP="00A43F5A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A74C1">
              <w:rPr>
                <w:rFonts w:ascii="標楷體" w:eastAsia="標楷體" w:hAnsi="標楷體" w:hint="eastAsia"/>
                <w:sz w:val="28"/>
                <w:szCs w:val="28"/>
              </w:rPr>
              <w:t xml:space="preserve"> A:貴子弟未通過跨教育階段安置，</w:t>
            </w:r>
            <w:r w:rsidRPr="000264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將不適用適性安置的入學</w:t>
            </w:r>
            <w:r w:rsidRPr="008A74C1">
              <w:rPr>
                <w:rFonts w:ascii="標楷體" w:eastAsia="標楷體" w:hAnsi="標楷體" w:hint="eastAsia"/>
                <w:sz w:val="28"/>
                <w:szCs w:val="28"/>
              </w:rPr>
              <w:t>，但仍可參加一般學生的多元入學管道，且依據</w:t>
            </w:r>
            <w:r w:rsidRPr="00ED658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民國 112 年 10 月 31 日修正之</w:t>
            </w:r>
            <w:r w:rsidRPr="008A74C1">
              <w:rPr>
                <w:rFonts w:ascii="標楷體" w:eastAsia="標楷體" w:hAnsi="標楷體" w:hint="eastAsia"/>
                <w:sz w:val="28"/>
                <w:szCs w:val="28"/>
              </w:rPr>
              <w:t>《身心障礙學生考試服務辦法》，參加免試入學者，</w:t>
            </w:r>
            <w:r w:rsidRPr="00A43F5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其超額</w:t>
            </w:r>
            <w:proofErr w:type="gramStart"/>
            <w:r w:rsidRPr="00A43F5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比序總</w:t>
            </w:r>
            <w:proofErr w:type="gramEnd"/>
            <w:r w:rsidRPr="00A43F5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積分加百分之二十五計算；參加特色招生入學者，依其</w:t>
            </w:r>
            <w:proofErr w:type="gramStart"/>
            <w:r w:rsidRPr="00A43F5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採</w:t>
            </w:r>
            <w:proofErr w:type="gramEnd"/>
            <w:r w:rsidRPr="00A43F5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計成績，以加總分百分之二十五計算。</w:t>
            </w:r>
            <w:r w:rsidR="00A001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至於升學方式如下圖:</w:t>
            </w:r>
          </w:p>
          <w:p w14:paraId="7EC2CC9F" w14:textId="77777777" w:rsidR="00A43F5A" w:rsidRDefault="00A43F5A" w:rsidP="00A43F5A">
            <w:pPr>
              <w:rPr>
                <w:rFonts w:ascii="細明體" w:eastAsia="細明體" w:hAnsi="細明體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1230DB70" wp14:editId="0A2BF573">
                  <wp:extent cx="6393180" cy="5143500"/>
                  <wp:effectExtent l="38100" t="0" r="7620" b="0"/>
                  <wp:docPr id="2036108423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14:paraId="7DBD6A84" w14:textId="46FB6F01" w:rsidR="00A43F5A" w:rsidRDefault="00A43F5A" w:rsidP="0026643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803DAEC" w14:textId="77777777" w:rsidR="00793F89" w:rsidRPr="006A4805" w:rsidRDefault="00793F89" w:rsidP="00793F89">
      <w:pPr>
        <w:rPr>
          <w:rFonts w:ascii="標楷體" w:eastAsia="標楷體" w:hAnsi="標楷體"/>
          <w:sz w:val="32"/>
          <w:szCs w:val="32"/>
        </w:rPr>
      </w:pPr>
    </w:p>
    <w:p w14:paraId="47C368ED" w14:textId="77777777" w:rsidR="00A71007" w:rsidRDefault="00A71007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64C56225" w14:textId="174D37FA" w:rsidR="00266434" w:rsidRDefault="001967CB" w:rsidP="001D10A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請各校業務承辦人注意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6434" w:rsidRPr="00B83A56" w14:paraId="4565F8E6" w14:textId="77777777" w:rsidTr="00266434">
        <w:tc>
          <w:tcPr>
            <w:tcW w:w="10456" w:type="dxa"/>
          </w:tcPr>
          <w:p w14:paraId="532A13BB" w14:textId="77777777" w:rsidR="001D10AD" w:rsidRDefault="00A71007" w:rsidP="001D10AD">
            <w:pPr>
              <w:pStyle w:val="ab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D10AD">
              <w:rPr>
                <w:rFonts w:ascii="標楷體" w:eastAsia="標楷體" w:hAnsi="標楷體" w:hint="eastAsia"/>
                <w:sz w:val="28"/>
                <w:szCs w:val="28"/>
              </w:rPr>
              <w:t>學生跨教育階段鑑定結果為</w:t>
            </w:r>
            <w:proofErr w:type="gramStart"/>
            <w:r w:rsidRPr="001D10AD">
              <w:rPr>
                <w:rFonts w:ascii="標楷體" w:eastAsia="標楷體" w:hAnsi="標楷體" w:hint="eastAsia"/>
                <w:sz w:val="28"/>
                <w:szCs w:val="28"/>
              </w:rPr>
              <w:t>非特教生</w:t>
            </w:r>
            <w:proofErr w:type="gramEnd"/>
            <w:r w:rsidRPr="001D10AD">
              <w:rPr>
                <w:rFonts w:ascii="標楷體" w:eastAsia="標楷體" w:hAnsi="標楷體" w:hint="eastAsia"/>
                <w:sz w:val="28"/>
                <w:szCs w:val="28"/>
              </w:rPr>
              <w:t>，畢業前相關課程與服務仍依已擬定個別化教育計畫執行。</w:t>
            </w:r>
          </w:p>
          <w:p w14:paraId="39091769" w14:textId="211EB1C8" w:rsidR="00266434" w:rsidRPr="001D10AD" w:rsidRDefault="001D10AD" w:rsidP="001D10A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  <w:r w:rsidR="00266434" w:rsidRPr="001D10AD">
              <w:rPr>
                <w:rFonts w:ascii="標楷體" w:eastAsia="標楷體" w:hAnsi="標楷體" w:hint="eastAsia"/>
                <w:sz w:val="28"/>
                <w:szCs w:val="28"/>
              </w:rPr>
              <w:t>跨教育階段鑑定安置目的是審查學生高中階段的特殊教育需求，</w:t>
            </w:r>
            <w:r w:rsidR="00B83A56" w:rsidRPr="001D10AD">
              <w:rPr>
                <w:rFonts w:ascii="標楷體" w:eastAsia="標楷體" w:hAnsi="標楷體" w:hint="eastAsia"/>
                <w:sz w:val="28"/>
                <w:szCs w:val="28"/>
              </w:rPr>
              <w:t xml:space="preserve"> 學生</w:t>
            </w:r>
            <w:r w:rsidR="00266434" w:rsidRPr="001D10AD">
              <w:rPr>
                <w:rFonts w:ascii="標楷體" w:eastAsia="標楷體" w:hAnsi="標楷體" w:hint="eastAsia"/>
                <w:sz w:val="28"/>
                <w:szCs w:val="28"/>
              </w:rPr>
              <w:t>在國中畢業前仍具</w:t>
            </w:r>
            <w:proofErr w:type="gramStart"/>
            <w:r w:rsidR="00266434" w:rsidRPr="001D10AD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="00266434" w:rsidRPr="001D10AD">
              <w:rPr>
                <w:rFonts w:ascii="標楷體" w:eastAsia="標楷體" w:hAnsi="標楷體" w:hint="eastAsia"/>
                <w:sz w:val="28"/>
                <w:szCs w:val="28"/>
              </w:rPr>
              <w:t>輔會核發的特殊教育身分與對應服務。未於本鑑定中取得特殊教育身分學生，其有效期限內的特殊教育身分與服務在國中畢業前依舊存在，原有考試服務與成績評量仍依已擬定個別化教育計畫執行，不受影響。</w:t>
            </w:r>
          </w:p>
          <w:p w14:paraId="7CA7B4E9" w14:textId="77777777" w:rsidR="00A71007" w:rsidRPr="00B83A56" w:rsidRDefault="00A71007" w:rsidP="0026643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A919D3D" w14:textId="77777777" w:rsidR="001D10AD" w:rsidRDefault="00A71007" w:rsidP="001D10A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二、學生跨教育階段鑑定結果為</w:t>
            </w:r>
            <w:proofErr w:type="gramStart"/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非特教生</w:t>
            </w:r>
            <w:proofErr w:type="gramEnd"/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，參加多元入學管道仍適用相關加分優待。</w:t>
            </w:r>
          </w:p>
          <w:p w14:paraId="7DCC8B9F" w14:textId="44582BB4" w:rsidR="00266434" w:rsidRPr="001D10AD" w:rsidRDefault="001D10AD" w:rsidP="001D10A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學生報名參加多元入學管道時，因在期程內仍具特殊教育身分，所以仍然適用《身心障礙學生升學輔導辦法》（民國102年08月22日修訂）內</w:t>
            </w:r>
            <w:proofErr w:type="gramStart"/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所載各加</w:t>
            </w:r>
            <w:proofErr w:type="gramEnd"/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分優待，不受本次鑑定安置結果影響。</w:t>
            </w:r>
          </w:p>
          <w:p w14:paraId="6FC3C670" w14:textId="77777777" w:rsidR="00A71007" w:rsidRPr="001D10AD" w:rsidRDefault="00A71007" w:rsidP="00A7100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A6DCE0C" w14:textId="6EC98F0C" w:rsidR="00266434" w:rsidRPr="00B83A56" w:rsidRDefault="00A71007" w:rsidP="002664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三、學生跨教育階段鑑定結果為</w:t>
            </w:r>
            <w:proofErr w:type="gramStart"/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非特教生</w:t>
            </w:r>
            <w:proofErr w:type="gramEnd"/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，仍可依考試服務辦法持IEP、</w:t>
            </w:r>
            <w:proofErr w:type="gramStart"/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特推會</w:t>
            </w:r>
            <w:proofErr w:type="gramEnd"/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紀錄等做為申請國中教育會考試服務依據。</w:t>
            </w:r>
          </w:p>
          <w:p w14:paraId="03CD67DE" w14:textId="5582D883" w:rsidR="00266434" w:rsidRPr="00B83A56" w:rsidRDefault="001D10AD" w:rsidP="001D10A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依據《身心障礙學生考試服務辦法》（民國112年10月31日）第2條「各級學校及試</w:t>
            </w:r>
            <w:proofErr w:type="gramStart"/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單位公開辦理各教育階段入學相關之各種考試，應依本辦法之規定提供身心障礙學生考試服務（以下簡稱考試服務）。」，另查第10條「身心障礙學生參加校內學習評量，學校得</w:t>
            </w:r>
            <w:proofErr w:type="gramStart"/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用本辦法提供各項考試服務，服務項目應載明於個別化教育計畫或個別化支持計畫，並得作為參與第二條所定入學考試申請考試服務之佐證</w:t>
            </w:r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資料」。所以本次國三特教學</w:t>
            </w:r>
            <w:r w:rsidR="00B83A56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即使是鑑定為</w:t>
            </w:r>
            <w:proofErr w:type="gramStart"/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非特教生</w:t>
            </w:r>
            <w:proofErr w:type="gramEnd"/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71007" w:rsidRPr="00B83A56">
              <w:rPr>
                <w:rFonts w:ascii="標楷體" w:eastAsia="標楷體" w:hAnsi="標楷體" w:hint="eastAsia"/>
                <w:sz w:val="28"/>
                <w:szCs w:val="28"/>
              </w:rPr>
              <w:t>仍</w:t>
            </w:r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可依考試服務辦法持IEP</w:t>
            </w:r>
            <w:r w:rsidR="00A71007" w:rsidRPr="00B83A5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特推會</w:t>
            </w:r>
            <w:proofErr w:type="gramEnd"/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  <w:r w:rsidR="00A71007" w:rsidRPr="00B83A56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做為申請國中教育會考試服務依據</w:t>
            </w:r>
            <w:r w:rsidR="00A71007" w:rsidRPr="00B83A56">
              <w:rPr>
                <w:rFonts w:ascii="標楷體" w:eastAsia="標楷體" w:hAnsi="標楷體" w:hint="eastAsia"/>
                <w:sz w:val="28"/>
                <w:szCs w:val="28"/>
              </w:rPr>
              <w:t>，由各校註冊組送件至高雄市考區試</w:t>
            </w:r>
            <w:proofErr w:type="gramStart"/>
            <w:r w:rsidR="00A71007" w:rsidRPr="00B83A5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A71007" w:rsidRPr="00B83A56">
              <w:rPr>
                <w:rFonts w:ascii="標楷體" w:eastAsia="標楷體" w:hAnsi="標楷體" w:hint="eastAsia"/>
                <w:sz w:val="28"/>
                <w:szCs w:val="28"/>
              </w:rPr>
              <w:t>會審查通過後即可適用</w:t>
            </w:r>
            <w:r w:rsidR="00266434" w:rsidRPr="00B83A56">
              <w:rPr>
                <w:rFonts w:ascii="標楷體" w:eastAsia="標楷體" w:hAnsi="標楷體" w:hint="eastAsia"/>
                <w:sz w:val="28"/>
                <w:szCs w:val="28"/>
              </w:rPr>
              <w:t>，不受此次鑑定安置結果影響。</w:t>
            </w:r>
          </w:p>
          <w:p w14:paraId="28AC8240" w14:textId="77777777" w:rsidR="00A71007" w:rsidRPr="00B83A56" w:rsidRDefault="00A71007" w:rsidP="00A7100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E62F536" w14:textId="0AA0CA42" w:rsidR="00A71007" w:rsidRPr="00B83A56" w:rsidRDefault="00A71007" w:rsidP="0026643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四、學生跨教育階段鑑定結果為</w:t>
            </w:r>
            <w:proofErr w:type="gramStart"/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非特教生</w:t>
            </w:r>
            <w:proofErr w:type="gramEnd"/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，高中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職</w:t>
            </w:r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階段仍可依高中</w:t>
            </w:r>
            <w:r w:rsidR="00BE778C" w:rsidRPr="00BE778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職</w:t>
            </w:r>
            <w:r w:rsidR="00B83A56">
              <w:rPr>
                <w:rFonts w:ascii="標楷體" w:eastAsia="標楷體" w:hAnsi="標楷體" w:hint="eastAsia"/>
                <w:sz w:val="28"/>
                <w:szCs w:val="28"/>
              </w:rPr>
              <w:t>階段身心障礙學生</w:t>
            </w:r>
            <w:r w:rsidRPr="00B83A56">
              <w:rPr>
                <w:rFonts w:ascii="標楷體" w:eastAsia="標楷體" w:hAnsi="標楷體" w:hint="eastAsia"/>
                <w:sz w:val="28"/>
                <w:szCs w:val="28"/>
              </w:rPr>
              <w:t>鑑定程序提出申請鑑定。</w:t>
            </w:r>
          </w:p>
        </w:tc>
      </w:tr>
    </w:tbl>
    <w:p w14:paraId="43876D86" w14:textId="3D8181D3" w:rsidR="009E09D6" w:rsidRDefault="009E09D6" w:rsidP="006A4805">
      <w:pPr>
        <w:rPr>
          <w:rFonts w:ascii="標楷體" w:eastAsia="標楷體" w:hAnsi="標楷體"/>
          <w:sz w:val="28"/>
          <w:szCs w:val="28"/>
        </w:rPr>
      </w:pPr>
    </w:p>
    <w:p w14:paraId="2C5E54D2" w14:textId="39E8B59C" w:rsidR="009E09D6" w:rsidRDefault="009E09D6" w:rsidP="006A4805">
      <w:pPr>
        <w:rPr>
          <w:rFonts w:ascii="標楷體" w:eastAsia="標楷體" w:hAnsi="標楷體"/>
          <w:sz w:val="28"/>
          <w:szCs w:val="28"/>
        </w:rPr>
      </w:pPr>
    </w:p>
    <w:p w14:paraId="2F8BF9CA" w14:textId="77777777" w:rsidR="009E09D6" w:rsidRPr="00391A68" w:rsidRDefault="009E09D6" w:rsidP="006A4805">
      <w:pPr>
        <w:rPr>
          <w:rFonts w:ascii="標楷體" w:eastAsia="標楷體" w:hAnsi="標楷體"/>
          <w:sz w:val="28"/>
          <w:szCs w:val="28"/>
        </w:rPr>
      </w:pPr>
    </w:p>
    <w:sectPr w:rsidR="009E09D6" w:rsidRPr="00391A68" w:rsidSect="006A48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7E57" w14:textId="77777777" w:rsidR="00D53500" w:rsidRDefault="00D53500" w:rsidP="009E09D6">
      <w:r>
        <w:separator/>
      </w:r>
    </w:p>
  </w:endnote>
  <w:endnote w:type="continuationSeparator" w:id="0">
    <w:p w14:paraId="59EE1A41" w14:textId="77777777" w:rsidR="00D53500" w:rsidRDefault="00D53500" w:rsidP="009E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F42E" w14:textId="77777777" w:rsidR="00D53500" w:rsidRDefault="00D53500" w:rsidP="009E09D6">
      <w:r>
        <w:separator/>
      </w:r>
    </w:p>
  </w:footnote>
  <w:footnote w:type="continuationSeparator" w:id="0">
    <w:p w14:paraId="5C3735F3" w14:textId="77777777" w:rsidR="00D53500" w:rsidRDefault="00D53500" w:rsidP="009E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71C20"/>
    <w:multiLevelType w:val="hybridMultilevel"/>
    <w:tmpl w:val="998C3162"/>
    <w:lvl w:ilvl="0" w:tplc="CD1638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E6"/>
    <w:rsid w:val="0000619C"/>
    <w:rsid w:val="0001365A"/>
    <w:rsid w:val="000D5FCC"/>
    <w:rsid w:val="001967CB"/>
    <w:rsid w:val="001A5DB4"/>
    <w:rsid w:val="001D10AD"/>
    <w:rsid w:val="0024175C"/>
    <w:rsid w:val="00266434"/>
    <w:rsid w:val="002C06EC"/>
    <w:rsid w:val="002F2696"/>
    <w:rsid w:val="00391A68"/>
    <w:rsid w:val="006A4805"/>
    <w:rsid w:val="00706991"/>
    <w:rsid w:val="00793F89"/>
    <w:rsid w:val="007B5DC3"/>
    <w:rsid w:val="007E438B"/>
    <w:rsid w:val="008A74C1"/>
    <w:rsid w:val="008E69E5"/>
    <w:rsid w:val="009D6A07"/>
    <w:rsid w:val="009E09D6"/>
    <w:rsid w:val="009E3FF2"/>
    <w:rsid w:val="009E4B5D"/>
    <w:rsid w:val="00A00174"/>
    <w:rsid w:val="00A43F5A"/>
    <w:rsid w:val="00A71007"/>
    <w:rsid w:val="00AA3597"/>
    <w:rsid w:val="00AB0C10"/>
    <w:rsid w:val="00AE1868"/>
    <w:rsid w:val="00B653CF"/>
    <w:rsid w:val="00B83A56"/>
    <w:rsid w:val="00BC00F3"/>
    <w:rsid w:val="00BD1EED"/>
    <w:rsid w:val="00BE778C"/>
    <w:rsid w:val="00CC33E6"/>
    <w:rsid w:val="00D53500"/>
    <w:rsid w:val="00DD7A4F"/>
    <w:rsid w:val="00E121E1"/>
    <w:rsid w:val="00EB6FAF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13149"/>
  <w15:chartTrackingRefBased/>
  <w15:docId w15:val="{76A09FEE-FBC5-CF4B-AE48-B24C1CE1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1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E0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09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0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09D6"/>
    <w:rPr>
      <w:sz w:val="20"/>
      <w:szCs w:val="20"/>
    </w:rPr>
  </w:style>
  <w:style w:type="table" w:styleId="a8">
    <w:name w:val="Table Grid"/>
    <w:basedOn w:val="a1"/>
    <w:uiPriority w:val="39"/>
    <w:rsid w:val="0079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A71007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71007"/>
  </w:style>
  <w:style w:type="paragraph" w:styleId="ab">
    <w:name w:val="List Paragraph"/>
    <w:basedOn w:val="a"/>
    <w:uiPriority w:val="34"/>
    <w:qFormat/>
    <w:rsid w:val="001D10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90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DBE774-5CB6-9E42-A699-02EE7E6B73F4}" type="doc">
      <dgm:prSet loTypeId="urn:microsoft.com/office/officeart/2005/8/layout/hierarchy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B3BBC6D-CFDE-0C4D-82E9-A55739AFD6A9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跨教育階段國三生</a:t>
          </a:r>
        </a:p>
      </dgm:t>
    </dgm:pt>
    <dgm:pt modelId="{B3CF0C74-E8C9-C64B-B202-DDF5D8C27A6C}" type="parTrans" cxnId="{A410788E-EEBE-064A-AED3-13D6C34E9408}">
      <dgm:prSet/>
      <dgm:spPr/>
      <dgm:t>
        <a:bodyPr/>
        <a:lstStyle/>
        <a:p>
          <a:endParaRPr lang="zh-TW" altLang="en-US"/>
        </a:p>
      </dgm:t>
    </dgm:pt>
    <dgm:pt modelId="{53363FA0-6EFD-9144-824C-7D8FEA5173FD}" type="sibTrans" cxnId="{A410788E-EEBE-064A-AED3-13D6C34E9408}">
      <dgm:prSet/>
      <dgm:spPr/>
      <dgm:t>
        <a:bodyPr/>
        <a:lstStyle/>
        <a:p>
          <a:endParaRPr lang="zh-TW" altLang="en-US"/>
        </a:p>
      </dgm:t>
    </dgm:pt>
    <dgm:pt modelId="{F5841E5D-24F1-1841-A0DD-8178F75EC64D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身心障礙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適用資格學生</a:t>
          </a:r>
        </a:p>
      </dgm:t>
    </dgm:pt>
    <dgm:pt modelId="{D0A40EC6-AB93-A14E-9E8B-CA049581B31F}" type="parTrans" cxnId="{B494BE57-0689-E949-87B8-61883DE4B143}">
      <dgm:prSet/>
      <dgm:spPr/>
      <dgm:t>
        <a:bodyPr/>
        <a:lstStyle/>
        <a:p>
          <a:endParaRPr lang="zh-TW" altLang="en-US"/>
        </a:p>
      </dgm:t>
    </dgm:pt>
    <dgm:pt modelId="{2AD77B1B-0F5B-1847-81B5-E8D3911662AF}" type="sibTrans" cxnId="{B494BE57-0689-E949-87B8-61883DE4B143}">
      <dgm:prSet/>
      <dgm:spPr/>
      <dgm:t>
        <a:bodyPr/>
        <a:lstStyle/>
        <a:p>
          <a:endParaRPr lang="zh-TW" altLang="en-US"/>
        </a:p>
      </dgm:t>
    </dgm:pt>
    <dgm:pt modelId="{28B857C7-3B8B-E243-89B8-F61AAF49E8B2}">
      <dgm:prSet phldrT="[文字]" custT="1"/>
      <dgm:spPr/>
      <dgm:t>
        <a:bodyPr/>
        <a:lstStyle/>
        <a:p>
          <a:pPr algn="l"/>
          <a:r>
            <a:rPr lang="en-US" altLang="zh-TW" sz="1200" b="0" i="0" u="none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200" b="0" i="0" u="none">
              <a:latin typeface="標楷體" panose="03000509000000000000" pitchFamily="65" charset="-120"/>
              <a:ea typeface="標楷體" panose="03000509000000000000" pitchFamily="65" charset="-120"/>
            </a:rPr>
            <a:t>適性安置高級中等學  校集中式特殊教育班或特殊教育學校者</a:t>
          </a:r>
          <a:endParaRPr lang="en-US" altLang="zh-TW" sz="1200" b="0" i="0" u="none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200" b="0" i="0" u="none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200" b="0" i="0" u="none">
              <a:latin typeface="標楷體" panose="03000509000000000000" pitchFamily="65" charset="-120"/>
              <a:ea typeface="標楷體" panose="03000509000000000000" pitchFamily="65" charset="-120"/>
            </a:rPr>
            <a:t>適性安置外加名額之普通高中或技術型高中</a:t>
          </a:r>
          <a:endParaRPr lang="en-US" altLang="zh-TW" sz="1200" b="0" i="0" u="none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比照一般學生</a:t>
          </a:r>
          <a:r>
            <a:rPr lang="zh-TW" altLang="en-US" sz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免試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入學管道</a:t>
          </a:r>
          <a:endParaRPr lang="en-US" altLang="zh-TW" sz="1200" b="0" i="0" u="none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ctr"/>
          <a:endParaRPr lang="en-US" altLang="zh-TW" sz="700" b="0" i="0" u="none"/>
        </a:p>
        <a:p>
          <a:pPr algn="ctr"/>
          <a:endParaRPr lang="zh-TW" altLang="en-US" sz="700"/>
        </a:p>
      </dgm:t>
    </dgm:pt>
    <dgm:pt modelId="{9E1C182F-A0D2-D941-931C-E75FF171A1B5}" type="parTrans" cxnId="{492C6E2D-F5E3-BC49-8756-14CDAEFD9441}">
      <dgm:prSet/>
      <dgm:spPr/>
      <dgm:t>
        <a:bodyPr/>
        <a:lstStyle/>
        <a:p>
          <a:endParaRPr lang="zh-TW" altLang="en-US"/>
        </a:p>
      </dgm:t>
    </dgm:pt>
    <dgm:pt modelId="{3ADD303C-0C03-A64B-82C5-0E7CFDD0FF5B}" type="sibTrans" cxnId="{492C6E2D-F5E3-BC49-8756-14CDAEFD9441}">
      <dgm:prSet/>
      <dgm:spPr/>
      <dgm:t>
        <a:bodyPr/>
        <a:lstStyle/>
        <a:p>
          <a:endParaRPr lang="zh-TW" altLang="en-US"/>
        </a:p>
      </dgm:t>
    </dgm:pt>
    <dgm:pt modelId="{E5064E48-7583-9046-B4BD-A84E8F55FB33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經研判為非特生</a:t>
          </a:r>
          <a:endParaRPr lang="en-US" altLang="zh-TW" sz="14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比照一般學生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9CA3EEEE-D3B0-BC4C-BA59-6F7EB7C499FD}" type="parTrans" cxnId="{195A3119-6A7B-0F4A-9B7E-DE97B53E8DA3}">
      <dgm:prSet/>
      <dgm:spPr/>
      <dgm:t>
        <a:bodyPr/>
        <a:lstStyle/>
        <a:p>
          <a:endParaRPr lang="zh-TW" altLang="en-US"/>
        </a:p>
      </dgm:t>
    </dgm:pt>
    <dgm:pt modelId="{14E7FA7D-2BE5-C441-B4BB-D38AF006BF60}" type="sibTrans" cxnId="{195A3119-6A7B-0F4A-9B7E-DE97B53E8DA3}">
      <dgm:prSet/>
      <dgm:spPr/>
      <dgm:t>
        <a:bodyPr/>
        <a:lstStyle/>
        <a:p>
          <a:endParaRPr lang="zh-TW" altLang="en-US"/>
        </a:p>
      </dgm:t>
    </dgm:pt>
    <dgm:pt modelId="{1B6D9214-97B0-8E48-A5D8-7987FBCFC143}">
      <dgm:prSet phldrT="[文字]" custT="1"/>
      <dgm:spPr/>
      <dgm:t>
        <a:bodyPr/>
        <a:lstStyle/>
        <a:p>
          <a:pPr algn="l"/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國中教育會考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超額比序總積分可加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25%)</a:t>
          </a:r>
        </a:p>
        <a:p>
          <a:pPr algn="l"/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高職實用技能班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高職建教合作班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4.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參加技藝教育學程、技藝教育競賽得名者，報名技優甄審</a:t>
          </a:r>
          <a:endParaRPr lang="en-US" altLang="zh-TW" sz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5.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各校特色招生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加總分</a:t>
          </a:r>
          <a:r>
            <a:rPr lang="en-US" altLang="zh-TW" sz="1200">
              <a:latin typeface="標楷體" panose="03000509000000000000" pitchFamily="65" charset="-120"/>
              <a:ea typeface="標楷體" panose="03000509000000000000" pitchFamily="65" charset="-120"/>
            </a:rPr>
            <a:t>25%)</a:t>
          </a:r>
        </a:p>
        <a:p>
          <a:pPr algn="l"/>
          <a:r>
            <a:rPr lang="en-US" altLang="zh-TW" sz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6.</a:t>
          </a:r>
          <a:r>
            <a:rPr lang="zh-TW" altLang="en-US" sz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五專多元入學</a:t>
          </a:r>
          <a:endParaRPr lang="en-US" altLang="zh-TW" sz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7.</a:t>
          </a:r>
          <a:r>
            <a:rPr lang="zh-TW" altLang="en-US" sz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體育班獨招</a:t>
          </a:r>
          <a:endParaRPr lang="en-US" altLang="zh-TW" sz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algn="l"/>
          <a:r>
            <a:rPr lang="en-US" altLang="zh-TW" sz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8.</a:t>
          </a:r>
          <a:r>
            <a:rPr lang="zh-TW" altLang="en-US" sz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中正預校</a:t>
          </a:r>
        </a:p>
      </dgm:t>
    </dgm:pt>
    <dgm:pt modelId="{FC5B3EAD-DEC3-094E-B369-BEBB8BFC15BC}" type="parTrans" cxnId="{A4B0EDEF-3F51-7840-84A0-CF3389586871}">
      <dgm:prSet/>
      <dgm:spPr/>
      <dgm:t>
        <a:bodyPr/>
        <a:lstStyle/>
        <a:p>
          <a:endParaRPr lang="zh-TW" altLang="en-US"/>
        </a:p>
      </dgm:t>
    </dgm:pt>
    <dgm:pt modelId="{54112E4C-BF3E-9747-B56B-3DD6A7F82D47}" type="sibTrans" cxnId="{A4B0EDEF-3F51-7840-84A0-CF3389586871}">
      <dgm:prSet/>
      <dgm:spPr/>
      <dgm:t>
        <a:bodyPr/>
        <a:lstStyle/>
        <a:p>
          <a:endParaRPr lang="zh-TW" altLang="en-US"/>
        </a:p>
      </dgm:t>
    </dgm:pt>
    <dgm:pt modelId="{45F9C75A-15FE-9248-933B-6B236042AA1C}" type="pres">
      <dgm:prSet presAssocID="{87DBE774-5CB6-9E42-A699-02EE7E6B73F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57E6E43-0930-2244-8938-6B368830FCFC}" type="pres">
      <dgm:prSet presAssocID="{FB3BBC6D-CFDE-0C4D-82E9-A55739AFD6A9}" presName="root1" presStyleCnt="0"/>
      <dgm:spPr/>
    </dgm:pt>
    <dgm:pt modelId="{AFB5DC6F-4695-FE4D-A382-9ACDAFF91A6F}" type="pres">
      <dgm:prSet presAssocID="{FB3BBC6D-CFDE-0C4D-82E9-A55739AFD6A9}" presName="LevelOneTextNode" presStyleLbl="node0" presStyleIdx="0" presStyleCnt="1" custScaleX="57792">
        <dgm:presLayoutVars>
          <dgm:chPref val="3"/>
        </dgm:presLayoutVars>
      </dgm:prSet>
      <dgm:spPr/>
    </dgm:pt>
    <dgm:pt modelId="{4B68D3C2-5954-7644-84F1-1C6007DC7FCD}" type="pres">
      <dgm:prSet presAssocID="{FB3BBC6D-CFDE-0C4D-82E9-A55739AFD6A9}" presName="level2hierChild" presStyleCnt="0"/>
      <dgm:spPr/>
    </dgm:pt>
    <dgm:pt modelId="{CDF480F4-25E2-C84C-AAD6-F9CB75A8786B}" type="pres">
      <dgm:prSet presAssocID="{D0A40EC6-AB93-A14E-9E8B-CA049581B31F}" presName="conn2-1" presStyleLbl="parChTrans1D2" presStyleIdx="0" presStyleCnt="2"/>
      <dgm:spPr/>
    </dgm:pt>
    <dgm:pt modelId="{D5EF9867-D580-D242-8ECA-FFA396AC1E5B}" type="pres">
      <dgm:prSet presAssocID="{D0A40EC6-AB93-A14E-9E8B-CA049581B31F}" presName="connTx" presStyleLbl="parChTrans1D2" presStyleIdx="0" presStyleCnt="2"/>
      <dgm:spPr/>
    </dgm:pt>
    <dgm:pt modelId="{286D2930-3374-914D-AC97-9403597F5C59}" type="pres">
      <dgm:prSet presAssocID="{F5841E5D-24F1-1841-A0DD-8178F75EC64D}" presName="root2" presStyleCnt="0"/>
      <dgm:spPr/>
    </dgm:pt>
    <dgm:pt modelId="{53E40E4E-8253-7A42-944E-C4C4CCA9EFD4}" type="pres">
      <dgm:prSet presAssocID="{F5841E5D-24F1-1841-A0DD-8178F75EC64D}" presName="LevelTwoTextNode" presStyleLbl="node2" presStyleIdx="0" presStyleCnt="2" custScaleX="91127">
        <dgm:presLayoutVars>
          <dgm:chPref val="3"/>
        </dgm:presLayoutVars>
      </dgm:prSet>
      <dgm:spPr/>
    </dgm:pt>
    <dgm:pt modelId="{6AE8088F-8CC6-A241-ADBF-56597F351F88}" type="pres">
      <dgm:prSet presAssocID="{F5841E5D-24F1-1841-A0DD-8178F75EC64D}" presName="level3hierChild" presStyleCnt="0"/>
      <dgm:spPr/>
    </dgm:pt>
    <dgm:pt modelId="{18EE7FAE-AC78-0847-BE01-60659423DE1D}" type="pres">
      <dgm:prSet presAssocID="{9E1C182F-A0D2-D941-931C-E75FF171A1B5}" presName="conn2-1" presStyleLbl="parChTrans1D3" presStyleIdx="0" presStyleCnt="2"/>
      <dgm:spPr/>
    </dgm:pt>
    <dgm:pt modelId="{582BE7C0-EBA1-D04D-8B97-EEA593B9D58A}" type="pres">
      <dgm:prSet presAssocID="{9E1C182F-A0D2-D941-931C-E75FF171A1B5}" presName="connTx" presStyleLbl="parChTrans1D3" presStyleIdx="0" presStyleCnt="2"/>
      <dgm:spPr/>
    </dgm:pt>
    <dgm:pt modelId="{A20A6DE6-B180-FB4D-9847-2217CE82C151}" type="pres">
      <dgm:prSet presAssocID="{28B857C7-3B8B-E243-89B8-F61AAF49E8B2}" presName="root2" presStyleCnt="0"/>
      <dgm:spPr/>
    </dgm:pt>
    <dgm:pt modelId="{06038D25-88C5-C443-B290-1F162AE57799}" type="pres">
      <dgm:prSet presAssocID="{28B857C7-3B8B-E243-89B8-F61AAF49E8B2}" presName="LevelTwoTextNode" presStyleLbl="node3" presStyleIdx="0" presStyleCnt="2" custScaleY="193499" custLinFactNeighborX="814" custLinFactNeighborY="-109">
        <dgm:presLayoutVars>
          <dgm:chPref val="3"/>
        </dgm:presLayoutVars>
      </dgm:prSet>
      <dgm:spPr/>
    </dgm:pt>
    <dgm:pt modelId="{E623A72B-2F7C-9F46-86AF-D8F5A52DD5EE}" type="pres">
      <dgm:prSet presAssocID="{28B857C7-3B8B-E243-89B8-F61AAF49E8B2}" presName="level3hierChild" presStyleCnt="0"/>
      <dgm:spPr/>
    </dgm:pt>
    <dgm:pt modelId="{100B0145-643A-C94B-879F-699C1E60775D}" type="pres">
      <dgm:prSet presAssocID="{9CA3EEEE-D3B0-BC4C-BA59-6F7EB7C499FD}" presName="conn2-1" presStyleLbl="parChTrans1D2" presStyleIdx="1" presStyleCnt="2"/>
      <dgm:spPr/>
    </dgm:pt>
    <dgm:pt modelId="{E311907F-E9EC-674C-9A10-3A0726A692EC}" type="pres">
      <dgm:prSet presAssocID="{9CA3EEEE-D3B0-BC4C-BA59-6F7EB7C499FD}" presName="connTx" presStyleLbl="parChTrans1D2" presStyleIdx="1" presStyleCnt="2"/>
      <dgm:spPr/>
    </dgm:pt>
    <dgm:pt modelId="{25B0399C-980D-964E-B2D2-3F768A42D0CC}" type="pres">
      <dgm:prSet presAssocID="{E5064E48-7583-9046-B4BD-A84E8F55FB33}" presName="root2" presStyleCnt="0"/>
      <dgm:spPr/>
    </dgm:pt>
    <dgm:pt modelId="{87A0F26F-C87F-A64A-BB60-833510FFB610}" type="pres">
      <dgm:prSet presAssocID="{E5064E48-7583-9046-B4BD-A84E8F55FB33}" presName="LevelTwoTextNode" presStyleLbl="node2" presStyleIdx="1" presStyleCnt="2" custScaleX="102835">
        <dgm:presLayoutVars>
          <dgm:chPref val="3"/>
        </dgm:presLayoutVars>
      </dgm:prSet>
      <dgm:spPr/>
    </dgm:pt>
    <dgm:pt modelId="{899CEF5E-5252-604B-9809-08D033763ED4}" type="pres">
      <dgm:prSet presAssocID="{E5064E48-7583-9046-B4BD-A84E8F55FB33}" presName="level3hierChild" presStyleCnt="0"/>
      <dgm:spPr/>
    </dgm:pt>
    <dgm:pt modelId="{F87F5286-5C65-3444-BADA-3635A4A0F9C3}" type="pres">
      <dgm:prSet presAssocID="{FC5B3EAD-DEC3-094E-B369-BEBB8BFC15BC}" presName="conn2-1" presStyleLbl="parChTrans1D3" presStyleIdx="1" presStyleCnt="2"/>
      <dgm:spPr/>
    </dgm:pt>
    <dgm:pt modelId="{733D5AA3-614A-3D42-BD54-02D8B3F091B6}" type="pres">
      <dgm:prSet presAssocID="{FC5B3EAD-DEC3-094E-B369-BEBB8BFC15BC}" presName="connTx" presStyleLbl="parChTrans1D3" presStyleIdx="1" presStyleCnt="2"/>
      <dgm:spPr/>
    </dgm:pt>
    <dgm:pt modelId="{EBC47C53-233A-C54F-80CA-56C789AA2068}" type="pres">
      <dgm:prSet presAssocID="{1B6D9214-97B0-8E48-A5D8-7987FBCFC143}" presName="root2" presStyleCnt="0"/>
      <dgm:spPr/>
    </dgm:pt>
    <dgm:pt modelId="{35799F6E-68C1-064A-99F8-0448CBBB21C8}" type="pres">
      <dgm:prSet presAssocID="{1B6D9214-97B0-8E48-A5D8-7987FBCFC143}" presName="LevelTwoTextNode" presStyleLbl="node3" presStyleIdx="1" presStyleCnt="2" custScaleX="128948" custScaleY="295701">
        <dgm:presLayoutVars>
          <dgm:chPref val="3"/>
        </dgm:presLayoutVars>
      </dgm:prSet>
      <dgm:spPr/>
    </dgm:pt>
    <dgm:pt modelId="{B898C66D-8A2B-744B-B970-B6A2CC068743}" type="pres">
      <dgm:prSet presAssocID="{1B6D9214-97B0-8E48-A5D8-7987FBCFC143}" presName="level3hierChild" presStyleCnt="0"/>
      <dgm:spPr/>
    </dgm:pt>
  </dgm:ptLst>
  <dgm:cxnLst>
    <dgm:cxn modelId="{6C1D7918-6A20-8647-BD3E-CDF7F154F836}" type="presOf" srcId="{9E1C182F-A0D2-D941-931C-E75FF171A1B5}" destId="{582BE7C0-EBA1-D04D-8B97-EEA593B9D58A}" srcOrd="1" destOrd="0" presId="urn:microsoft.com/office/officeart/2005/8/layout/hierarchy2"/>
    <dgm:cxn modelId="{195A3119-6A7B-0F4A-9B7E-DE97B53E8DA3}" srcId="{FB3BBC6D-CFDE-0C4D-82E9-A55739AFD6A9}" destId="{E5064E48-7583-9046-B4BD-A84E8F55FB33}" srcOrd="1" destOrd="0" parTransId="{9CA3EEEE-D3B0-BC4C-BA59-6F7EB7C499FD}" sibTransId="{14E7FA7D-2BE5-C441-B4BB-D38AF006BF60}"/>
    <dgm:cxn modelId="{242BEC1A-1783-FE4E-929E-B72DE12CF8C3}" type="presOf" srcId="{28B857C7-3B8B-E243-89B8-F61AAF49E8B2}" destId="{06038D25-88C5-C443-B290-1F162AE57799}" srcOrd="0" destOrd="0" presId="urn:microsoft.com/office/officeart/2005/8/layout/hierarchy2"/>
    <dgm:cxn modelId="{492C6E2D-F5E3-BC49-8756-14CDAEFD9441}" srcId="{F5841E5D-24F1-1841-A0DD-8178F75EC64D}" destId="{28B857C7-3B8B-E243-89B8-F61AAF49E8B2}" srcOrd="0" destOrd="0" parTransId="{9E1C182F-A0D2-D941-931C-E75FF171A1B5}" sibTransId="{3ADD303C-0C03-A64B-82C5-0E7CFDD0FF5B}"/>
    <dgm:cxn modelId="{8EDA3949-6FD5-C940-85AA-EB50E59C4DC8}" type="presOf" srcId="{FC5B3EAD-DEC3-094E-B369-BEBB8BFC15BC}" destId="{733D5AA3-614A-3D42-BD54-02D8B3F091B6}" srcOrd="1" destOrd="0" presId="urn:microsoft.com/office/officeart/2005/8/layout/hierarchy2"/>
    <dgm:cxn modelId="{DBA2B857-9C64-9046-9066-D99539172ABA}" type="presOf" srcId="{9CA3EEEE-D3B0-BC4C-BA59-6F7EB7C499FD}" destId="{E311907F-E9EC-674C-9A10-3A0726A692EC}" srcOrd="1" destOrd="0" presId="urn:microsoft.com/office/officeart/2005/8/layout/hierarchy2"/>
    <dgm:cxn modelId="{B494BE57-0689-E949-87B8-61883DE4B143}" srcId="{FB3BBC6D-CFDE-0C4D-82E9-A55739AFD6A9}" destId="{F5841E5D-24F1-1841-A0DD-8178F75EC64D}" srcOrd="0" destOrd="0" parTransId="{D0A40EC6-AB93-A14E-9E8B-CA049581B31F}" sibTransId="{2AD77B1B-0F5B-1847-81B5-E8D3911662AF}"/>
    <dgm:cxn modelId="{A410788E-EEBE-064A-AED3-13D6C34E9408}" srcId="{87DBE774-5CB6-9E42-A699-02EE7E6B73F4}" destId="{FB3BBC6D-CFDE-0C4D-82E9-A55739AFD6A9}" srcOrd="0" destOrd="0" parTransId="{B3CF0C74-E8C9-C64B-B202-DDF5D8C27A6C}" sibTransId="{53363FA0-6EFD-9144-824C-7D8FEA5173FD}"/>
    <dgm:cxn modelId="{0D2E1D92-9D10-4842-B1C9-DB2E8647A013}" type="presOf" srcId="{E5064E48-7583-9046-B4BD-A84E8F55FB33}" destId="{87A0F26F-C87F-A64A-BB60-833510FFB610}" srcOrd="0" destOrd="0" presId="urn:microsoft.com/office/officeart/2005/8/layout/hierarchy2"/>
    <dgm:cxn modelId="{B60E2A92-CC13-4149-925E-6E8D5D3D9104}" type="presOf" srcId="{9E1C182F-A0D2-D941-931C-E75FF171A1B5}" destId="{18EE7FAE-AC78-0847-BE01-60659423DE1D}" srcOrd="0" destOrd="0" presId="urn:microsoft.com/office/officeart/2005/8/layout/hierarchy2"/>
    <dgm:cxn modelId="{E2CEB5A2-F147-6747-8D71-3F9BFD320BA4}" type="presOf" srcId="{D0A40EC6-AB93-A14E-9E8B-CA049581B31F}" destId="{D5EF9867-D580-D242-8ECA-FFA396AC1E5B}" srcOrd="1" destOrd="0" presId="urn:microsoft.com/office/officeart/2005/8/layout/hierarchy2"/>
    <dgm:cxn modelId="{11D828A9-BE67-EE4B-98EC-BCB895DB8003}" type="presOf" srcId="{9CA3EEEE-D3B0-BC4C-BA59-6F7EB7C499FD}" destId="{100B0145-643A-C94B-879F-699C1E60775D}" srcOrd="0" destOrd="0" presId="urn:microsoft.com/office/officeart/2005/8/layout/hierarchy2"/>
    <dgm:cxn modelId="{265362AA-5234-FB42-BD18-4D39AAC4F1A5}" type="presOf" srcId="{F5841E5D-24F1-1841-A0DD-8178F75EC64D}" destId="{53E40E4E-8253-7A42-944E-C4C4CCA9EFD4}" srcOrd="0" destOrd="0" presId="urn:microsoft.com/office/officeart/2005/8/layout/hierarchy2"/>
    <dgm:cxn modelId="{3072E5B3-2C8F-5E40-86AA-09DF5AD534DC}" type="presOf" srcId="{FB3BBC6D-CFDE-0C4D-82E9-A55739AFD6A9}" destId="{AFB5DC6F-4695-FE4D-A382-9ACDAFF91A6F}" srcOrd="0" destOrd="0" presId="urn:microsoft.com/office/officeart/2005/8/layout/hierarchy2"/>
    <dgm:cxn modelId="{21A0D8BC-93C7-F44C-95D3-E5D54526444A}" type="presOf" srcId="{D0A40EC6-AB93-A14E-9E8B-CA049581B31F}" destId="{CDF480F4-25E2-C84C-AAD6-F9CB75A8786B}" srcOrd="0" destOrd="0" presId="urn:microsoft.com/office/officeart/2005/8/layout/hierarchy2"/>
    <dgm:cxn modelId="{59F7D4C0-794D-F341-B71F-EE5B869D32C9}" type="presOf" srcId="{FC5B3EAD-DEC3-094E-B369-BEBB8BFC15BC}" destId="{F87F5286-5C65-3444-BADA-3635A4A0F9C3}" srcOrd="0" destOrd="0" presId="urn:microsoft.com/office/officeart/2005/8/layout/hierarchy2"/>
    <dgm:cxn modelId="{B543A0DE-5D5A-404B-80D3-A95197FCFF48}" type="presOf" srcId="{87DBE774-5CB6-9E42-A699-02EE7E6B73F4}" destId="{45F9C75A-15FE-9248-933B-6B236042AA1C}" srcOrd="0" destOrd="0" presId="urn:microsoft.com/office/officeart/2005/8/layout/hierarchy2"/>
    <dgm:cxn modelId="{8392AEE1-8F61-3048-ACF9-0D24AAA49445}" type="presOf" srcId="{1B6D9214-97B0-8E48-A5D8-7987FBCFC143}" destId="{35799F6E-68C1-064A-99F8-0448CBBB21C8}" srcOrd="0" destOrd="0" presId="urn:microsoft.com/office/officeart/2005/8/layout/hierarchy2"/>
    <dgm:cxn modelId="{A4B0EDEF-3F51-7840-84A0-CF3389586871}" srcId="{E5064E48-7583-9046-B4BD-A84E8F55FB33}" destId="{1B6D9214-97B0-8E48-A5D8-7987FBCFC143}" srcOrd="0" destOrd="0" parTransId="{FC5B3EAD-DEC3-094E-B369-BEBB8BFC15BC}" sibTransId="{54112E4C-BF3E-9747-B56B-3DD6A7F82D47}"/>
    <dgm:cxn modelId="{36028C6E-61FF-1E45-957E-0CD5244858EC}" type="presParOf" srcId="{45F9C75A-15FE-9248-933B-6B236042AA1C}" destId="{157E6E43-0930-2244-8938-6B368830FCFC}" srcOrd="0" destOrd="0" presId="urn:microsoft.com/office/officeart/2005/8/layout/hierarchy2"/>
    <dgm:cxn modelId="{CCEB59E5-279F-6747-AFDA-40825769E59E}" type="presParOf" srcId="{157E6E43-0930-2244-8938-6B368830FCFC}" destId="{AFB5DC6F-4695-FE4D-A382-9ACDAFF91A6F}" srcOrd="0" destOrd="0" presId="urn:microsoft.com/office/officeart/2005/8/layout/hierarchy2"/>
    <dgm:cxn modelId="{9411EF39-067A-3D41-A028-9690517CF79E}" type="presParOf" srcId="{157E6E43-0930-2244-8938-6B368830FCFC}" destId="{4B68D3C2-5954-7644-84F1-1C6007DC7FCD}" srcOrd="1" destOrd="0" presId="urn:microsoft.com/office/officeart/2005/8/layout/hierarchy2"/>
    <dgm:cxn modelId="{F20CAC39-2D66-FA45-A9BE-30CD8B70D830}" type="presParOf" srcId="{4B68D3C2-5954-7644-84F1-1C6007DC7FCD}" destId="{CDF480F4-25E2-C84C-AAD6-F9CB75A8786B}" srcOrd="0" destOrd="0" presId="urn:microsoft.com/office/officeart/2005/8/layout/hierarchy2"/>
    <dgm:cxn modelId="{742BDBB0-70D4-4D41-B969-C6094E70CA68}" type="presParOf" srcId="{CDF480F4-25E2-C84C-AAD6-F9CB75A8786B}" destId="{D5EF9867-D580-D242-8ECA-FFA396AC1E5B}" srcOrd="0" destOrd="0" presId="urn:microsoft.com/office/officeart/2005/8/layout/hierarchy2"/>
    <dgm:cxn modelId="{8087F901-03CE-8643-9D3A-ABDE6C80A44B}" type="presParOf" srcId="{4B68D3C2-5954-7644-84F1-1C6007DC7FCD}" destId="{286D2930-3374-914D-AC97-9403597F5C59}" srcOrd="1" destOrd="0" presId="urn:microsoft.com/office/officeart/2005/8/layout/hierarchy2"/>
    <dgm:cxn modelId="{21CA1422-82F3-744C-A8EF-1AF6F1056F6B}" type="presParOf" srcId="{286D2930-3374-914D-AC97-9403597F5C59}" destId="{53E40E4E-8253-7A42-944E-C4C4CCA9EFD4}" srcOrd="0" destOrd="0" presId="urn:microsoft.com/office/officeart/2005/8/layout/hierarchy2"/>
    <dgm:cxn modelId="{8A7EEBA6-331D-A44C-A873-F0645611FA4A}" type="presParOf" srcId="{286D2930-3374-914D-AC97-9403597F5C59}" destId="{6AE8088F-8CC6-A241-ADBF-56597F351F88}" srcOrd="1" destOrd="0" presId="urn:microsoft.com/office/officeart/2005/8/layout/hierarchy2"/>
    <dgm:cxn modelId="{B78743E0-6E35-984D-86F0-8EB92FB2C226}" type="presParOf" srcId="{6AE8088F-8CC6-A241-ADBF-56597F351F88}" destId="{18EE7FAE-AC78-0847-BE01-60659423DE1D}" srcOrd="0" destOrd="0" presId="urn:microsoft.com/office/officeart/2005/8/layout/hierarchy2"/>
    <dgm:cxn modelId="{8DACCE92-65BD-9C4A-AEAC-74A3EB41DCFA}" type="presParOf" srcId="{18EE7FAE-AC78-0847-BE01-60659423DE1D}" destId="{582BE7C0-EBA1-D04D-8B97-EEA593B9D58A}" srcOrd="0" destOrd="0" presId="urn:microsoft.com/office/officeart/2005/8/layout/hierarchy2"/>
    <dgm:cxn modelId="{C355F145-FABA-7248-89DC-0A2BFF6918D0}" type="presParOf" srcId="{6AE8088F-8CC6-A241-ADBF-56597F351F88}" destId="{A20A6DE6-B180-FB4D-9847-2217CE82C151}" srcOrd="1" destOrd="0" presId="urn:microsoft.com/office/officeart/2005/8/layout/hierarchy2"/>
    <dgm:cxn modelId="{4B2AA25A-D58B-5C42-9479-26639BC83C17}" type="presParOf" srcId="{A20A6DE6-B180-FB4D-9847-2217CE82C151}" destId="{06038D25-88C5-C443-B290-1F162AE57799}" srcOrd="0" destOrd="0" presId="urn:microsoft.com/office/officeart/2005/8/layout/hierarchy2"/>
    <dgm:cxn modelId="{8ECF2FA4-0BDF-8C48-A9E2-2A6574DA9829}" type="presParOf" srcId="{A20A6DE6-B180-FB4D-9847-2217CE82C151}" destId="{E623A72B-2F7C-9F46-86AF-D8F5A52DD5EE}" srcOrd="1" destOrd="0" presId="urn:microsoft.com/office/officeart/2005/8/layout/hierarchy2"/>
    <dgm:cxn modelId="{7EBC0D51-602F-3643-AFEF-B27DA26D9B51}" type="presParOf" srcId="{4B68D3C2-5954-7644-84F1-1C6007DC7FCD}" destId="{100B0145-643A-C94B-879F-699C1E60775D}" srcOrd="2" destOrd="0" presId="urn:microsoft.com/office/officeart/2005/8/layout/hierarchy2"/>
    <dgm:cxn modelId="{380C8496-0D79-4A43-B3E4-F44A44AF0CDC}" type="presParOf" srcId="{100B0145-643A-C94B-879F-699C1E60775D}" destId="{E311907F-E9EC-674C-9A10-3A0726A692EC}" srcOrd="0" destOrd="0" presId="urn:microsoft.com/office/officeart/2005/8/layout/hierarchy2"/>
    <dgm:cxn modelId="{C0CB8A2A-66FF-DE46-BB1C-EC4D557131C5}" type="presParOf" srcId="{4B68D3C2-5954-7644-84F1-1C6007DC7FCD}" destId="{25B0399C-980D-964E-B2D2-3F768A42D0CC}" srcOrd="3" destOrd="0" presId="urn:microsoft.com/office/officeart/2005/8/layout/hierarchy2"/>
    <dgm:cxn modelId="{4EF8B36D-59E8-2047-8D84-62EDDA05F433}" type="presParOf" srcId="{25B0399C-980D-964E-B2D2-3F768A42D0CC}" destId="{87A0F26F-C87F-A64A-BB60-833510FFB610}" srcOrd="0" destOrd="0" presId="urn:microsoft.com/office/officeart/2005/8/layout/hierarchy2"/>
    <dgm:cxn modelId="{E6ADDCE7-6E5F-5447-AF34-BFE8CD7210C0}" type="presParOf" srcId="{25B0399C-980D-964E-B2D2-3F768A42D0CC}" destId="{899CEF5E-5252-604B-9809-08D033763ED4}" srcOrd="1" destOrd="0" presId="urn:microsoft.com/office/officeart/2005/8/layout/hierarchy2"/>
    <dgm:cxn modelId="{365D4D99-B468-124B-8AC5-753A48A53841}" type="presParOf" srcId="{899CEF5E-5252-604B-9809-08D033763ED4}" destId="{F87F5286-5C65-3444-BADA-3635A4A0F9C3}" srcOrd="0" destOrd="0" presId="urn:microsoft.com/office/officeart/2005/8/layout/hierarchy2"/>
    <dgm:cxn modelId="{5396FB22-13C7-CD4E-80C8-61E1F6C98A14}" type="presParOf" srcId="{F87F5286-5C65-3444-BADA-3635A4A0F9C3}" destId="{733D5AA3-614A-3D42-BD54-02D8B3F091B6}" srcOrd="0" destOrd="0" presId="urn:microsoft.com/office/officeart/2005/8/layout/hierarchy2"/>
    <dgm:cxn modelId="{AE70FDC4-A182-CB42-AAA5-CF952096676B}" type="presParOf" srcId="{899CEF5E-5252-604B-9809-08D033763ED4}" destId="{EBC47C53-233A-C54F-80CA-56C789AA2068}" srcOrd="1" destOrd="0" presId="urn:microsoft.com/office/officeart/2005/8/layout/hierarchy2"/>
    <dgm:cxn modelId="{64734765-B733-7745-8BB4-4630F7BEE68C}" type="presParOf" srcId="{EBC47C53-233A-C54F-80CA-56C789AA2068}" destId="{35799F6E-68C1-064A-99F8-0448CBBB21C8}" srcOrd="0" destOrd="0" presId="urn:microsoft.com/office/officeart/2005/8/layout/hierarchy2"/>
    <dgm:cxn modelId="{D71AC957-26AE-FA4E-AFB5-84AE221713C9}" type="presParOf" srcId="{EBC47C53-233A-C54F-80CA-56C789AA2068}" destId="{B898C66D-8A2B-744B-B970-B6A2CC068743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B5DC6F-4695-FE4D-A382-9ACDAFF91A6F}">
      <dsp:nvSpPr>
        <dsp:cNvPr id="0" name=""/>
        <dsp:cNvSpPr/>
      </dsp:nvSpPr>
      <dsp:spPr>
        <a:xfrm>
          <a:off x="6774" y="1919670"/>
          <a:ext cx="997609" cy="8631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跨教育階段國三生</a:t>
          </a:r>
        </a:p>
      </dsp:txBody>
      <dsp:txXfrm>
        <a:off x="32053" y="1944949"/>
        <a:ext cx="947051" cy="812545"/>
      </dsp:txXfrm>
    </dsp:sp>
    <dsp:sp modelId="{CDF480F4-25E2-C84C-AAD6-F9CB75A8786B}">
      <dsp:nvSpPr>
        <dsp:cNvPr id="0" name=""/>
        <dsp:cNvSpPr/>
      </dsp:nvSpPr>
      <dsp:spPr>
        <a:xfrm rot="18098813">
          <a:off x="691625" y="1775966"/>
          <a:ext cx="1316000" cy="30204"/>
        </a:xfrm>
        <a:custGeom>
          <a:avLst/>
          <a:gdLst/>
          <a:ahLst/>
          <a:cxnLst/>
          <a:rect l="0" t="0" r="0" b="0"/>
          <a:pathLst>
            <a:path>
              <a:moveTo>
                <a:pt x="0" y="15102"/>
              </a:moveTo>
              <a:lnTo>
                <a:pt x="1316000" y="151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316726" y="1758168"/>
        <a:ext cx="65800" cy="65800"/>
      </dsp:txXfrm>
    </dsp:sp>
    <dsp:sp modelId="{53E40E4E-8253-7A42-944E-C4C4CCA9EFD4}">
      <dsp:nvSpPr>
        <dsp:cNvPr id="0" name=""/>
        <dsp:cNvSpPr/>
      </dsp:nvSpPr>
      <dsp:spPr>
        <a:xfrm>
          <a:off x="1694867" y="799362"/>
          <a:ext cx="1573040" cy="8631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身心障礙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適用資格學生</a:t>
          </a:r>
        </a:p>
      </dsp:txBody>
      <dsp:txXfrm>
        <a:off x="1720146" y="824641"/>
        <a:ext cx="1522482" cy="812545"/>
      </dsp:txXfrm>
    </dsp:sp>
    <dsp:sp modelId="{18EE7FAE-AC78-0847-BE01-60659423DE1D}">
      <dsp:nvSpPr>
        <dsp:cNvPr id="0" name=""/>
        <dsp:cNvSpPr/>
      </dsp:nvSpPr>
      <dsp:spPr>
        <a:xfrm rot="21595409">
          <a:off x="3267907" y="1215341"/>
          <a:ext cx="704534" cy="30204"/>
        </a:xfrm>
        <a:custGeom>
          <a:avLst/>
          <a:gdLst/>
          <a:ahLst/>
          <a:cxnLst/>
          <a:rect l="0" t="0" r="0" b="0"/>
          <a:pathLst>
            <a:path>
              <a:moveTo>
                <a:pt x="0" y="15102"/>
              </a:moveTo>
              <a:lnTo>
                <a:pt x="704534" y="151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602561" y="1212830"/>
        <a:ext cx="35226" cy="35226"/>
      </dsp:txXfrm>
    </dsp:sp>
    <dsp:sp modelId="{06038D25-88C5-C443-B290-1F162AE57799}">
      <dsp:nvSpPr>
        <dsp:cNvPr id="0" name=""/>
        <dsp:cNvSpPr/>
      </dsp:nvSpPr>
      <dsp:spPr>
        <a:xfrm>
          <a:off x="3972442" y="394925"/>
          <a:ext cx="1726207" cy="16700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0" i="0" u="none" kern="12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200" b="0" i="0" u="none" kern="1200">
              <a:latin typeface="標楷體" panose="03000509000000000000" pitchFamily="65" charset="-120"/>
              <a:ea typeface="標楷體" panose="03000509000000000000" pitchFamily="65" charset="-120"/>
            </a:rPr>
            <a:t>適性安置高級中等學  校集中式特殊教育班或特殊教育學校者</a:t>
          </a:r>
          <a:endParaRPr lang="en-US" altLang="zh-TW" sz="1200" b="0" i="0" u="none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0" i="0" u="none" kern="12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200" b="0" i="0" u="none" kern="1200">
              <a:latin typeface="標楷體" panose="03000509000000000000" pitchFamily="65" charset="-120"/>
              <a:ea typeface="標楷體" panose="03000509000000000000" pitchFamily="65" charset="-120"/>
            </a:rPr>
            <a:t>適性安置外加名額之普通高中或技術型高中</a:t>
          </a:r>
          <a:endParaRPr lang="en-US" altLang="zh-TW" sz="1200" b="0" i="0" u="none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比照一般學生</a:t>
          </a:r>
          <a:r>
            <a:rPr lang="zh-TW" altLang="en-US" sz="12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免試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入學管道</a:t>
          </a:r>
          <a:endParaRPr lang="en-US" altLang="zh-TW" sz="1200" b="0" i="0" u="none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700" b="0" i="0" u="none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700" kern="1200"/>
        </a:p>
      </dsp:txBody>
      <dsp:txXfrm>
        <a:off x="4021357" y="443840"/>
        <a:ext cx="1628377" cy="1572266"/>
      </dsp:txXfrm>
    </dsp:sp>
    <dsp:sp modelId="{100B0145-643A-C94B-879F-699C1E60775D}">
      <dsp:nvSpPr>
        <dsp:cNvPr id="0" name=""/>
        <dsp:cNvSpPr/>
      </dsp:nvSpPr>
      <dsp:spPr>
        <a:xfrm rot="3501187">
          <a:off x="691625" y="2896274"/>
          <a:ext cx="1316000" cy="30204"/>
        </a:xfrm>
        <a:custGeom>
          <a:avLst/>
          <a:gdLst/>
          <a:ahLst/>
          <a:cxnLst/>
          <a:rect l="0" t="0" r="0" b="0"/>
          <a:pathLst>
            <a:path>
              <a:moveTo>
                <a:pt x="0" y="15102"/>
              </a:moveTo>
              <a:lnTo>
                <a:pt x="1316000" y="151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1316726" y="2878476"/>
        <a:ext cx="65800" cy="65800"/>
      </dsp:txXfrm>
    </dsp:sp>
    <dsp:sp modelId="{87A0F26F-C87F-A64A-BB60-833510FFB610}">
      <dsp:nvSpPr>
        <dsp:cNvPr id="0" name=""/>
        <dsp:cNvSpPr/>
      </dsp:nvSpPr>
      <dsp:spPr>
        <a:xfrm>
          <a:off x="1694867" y="3039979"/>
          <a:ext cx="1775145" cy="8631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經研判為非特生</a:t>
          </a:r>
          <a:endParaRPr lang="en-US" altLang="zh-TW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比照一般學生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20146" y="3065258"/>
        <a:ext cx="1724587" cy="812545"/>
      </dsp:txXfrm>
    </dsp:sp>
    <dsp:sp modelId="{F87F5286-5C65-3444-BADA-3635A4A0F9C3}">
      <dsp:nvSpPr>
        <dsp:cNvPr id="0" name=""/>
        <dsp:cNvSpPr/>
      </dsp:nvSpPr>
      <dsp:spPr>
        <a:xfrm>
          <a:off x="3470012" y="3456428"/>
          <a:ext cx="690482" cy="30204"/>
        </a:xfrm>
        <a:custGeom>
          <a:avLst/>
          <a:gdLst/>
          <a:ahLst/>
          <a:cxnLst/>
          <a:rect l="0" t="0" r="0" b="0"/>
          <a:pathLst>
            <a:path>
              <a:moveTo>
                <a:pt x="0" y="15102"/>
              </a:moveTo>
              <a:lnTo>
                <a:pt x="690482" y="151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3797991" y="3454269"/>
        <a:ext cx="34524" cy="34524"/>
      </dsp:txXfrm>
    </dsp:sp>
    <dsp:sp modelId="{35799F6E-68C1-064A-99F8-0448CBBB21C8}">
      <dsp:nvSpPr>
        <dsp:cNvPr id="0" name=""/>
        <dsp:cNvSpPr/>
      </dsp:nvSpPr>
      <dsp:spPr>
        <a:xfrm>
          <a:off x="4160495" y="2195428"/>
          <a:ext cx="2225909" cy="25522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1.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國中教育會考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超額比序總積分可加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25%)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2.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高職實用技能班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3.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高職建教合作班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4.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參加技藝教育學程、技藝教育競賽得名者，報名技優甄審</a:t>
          </a:r>
          <a:endParaRPr lang="en-US" altLang="zh-TW" sz="12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5.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各校特色招生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加總分</a:t>
          </a:r>
          <a:r>
            <a:rPr lang="en-US" altLang="zh-TW" sz="1200" kern="1200">
              <a:latin typeface="標楷體" panose="03000509000000000000" pitchFamily="65" charset="-120"/>
              <a:ea typeface="標楷體" panose="03000509000000000000" pitchFamily="65" charset="-120"/>
            </a:rPr>
            <a:t>25%)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6.</a:t>
          </a:r>
          <a:r>
            <a:rPr lang="zh-TW" altLang="en-US" sz="12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五專多元入學</a:t>
          </a:r>
          <a:endParaRPr lang="en-US" altLang="zh-TW" sz="1200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7.</a:t>
          </a:r>
          <a:r>
            <a:rPr lang="zh-TW" altLang="en-US" sz="12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體育班獨招</a:t>
          </a:r>
          <a:endParaRPr lang="en-US" altLang="zh-TW" sz="1200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8.</a:t>
          </a:r>
          <a:r>
            <a:rPr lang="zh-TW" altLang="en-US" sz="12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中正預校</a:t>
          </a:r>
        </a:p>
      </dsp:txBody>
      <dsp:txXfrm>
        <a:off x="4225690" y="2260623"/>
        <a:ext cx="2095519" cy="24218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sujan lin</dc:creator>
  <cp:keywords/>
  <dc:description/>
  <cp:lastModifiedBy>UserE5</cp:lastModifiedBy>
  <cp:revision>5</cp:revision>
  <dcterms:created xsi:type="dcterms:W3CDTF">2023-11-29T06:22:00Z</dcterms:created>
  <dcterms:modified xsi:type="dcterms:W3CDTF">2023-11-29T06:47:00Z</dcterms:modified>
</cp:coreProperties>
</file>