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A2D" w14:textId="1D580121" w:rsidR="00BF794C" w:rsidRPr="00622B46" w:rsidRDefault="00BF794C" w:rsidP="00BF794C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bookmarkStart w:id="0" w:name="_Hlk106697143"/>
      <w:r w:rsidRPr="00622B46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622B46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1</w:t>
      </w:r>
      <w:r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2</w:t>
      </w:r>
    </w:p>
    <w:bookmarkEnd w:id="0"/>
    <w:p w14:paraId="414733A6" w14:textId="06C77085" w:rsidR="00A44270" w:rsidRPr="009503D7" w:rsidRDefault="00A44270" w:rsidP="00DD2E59">
      <w:pPr>
        <w:spacing w:line="0" w:lineRule="atLeast"/>
        <w:ind w:leftChars="-59" w:left="70" w:hangingChars="59" w:hanging="212"/>
        <w:jc w:val="center"/>
        <w:rPr>
          <w:rFonts w:ascii="楷體-繁" w:eastAsia="楷體-繁" w:hAnsi="楷體-繁"/>
          <w:color w:val="000000" w:themeColor="text1"/>
          <w:sz w:val="36"/>
          <w:szCs w:val="36"/>
        </w:rPr>
      </w:pPr>
      <w:r w:rsidRPr="009503D7">
        <w:rPr>
          <w:rFonts w:ascii="楷體-繁" w:eastAsia="楷體-繁" w:hAnsi="楷體-繁" w:hint="eastAsia"/>
          <w:color w:val="000000" w:themeColor="text1"/>
          <w:sz w:val="36"/>
          <w:szCs w:val="36"/>
        </w:rPr>
        <w:t>個案學習困難與需求評估敘寫</w:t>
      </w:r>
      <w:r w:rsidR="00183544" w:rsidRPr="009503D7">
        <w:rPr>
          <w:rFonts w:ascii="楷體-繁" w:eastAsia="楷體-繁" w:hAnsi="楷體-繁" w:hint="eastAsia"/>
          <w:b/>
          <w:bCs/>
          <w:color w:val="000000" w:themeColor="text1"/>
          <w:sz w:val="36"/>
          <w:szCs w:val="36"/>
        </w:rPr>
        <w:t>『</w:t>
      </w:r>
      <w:r w:rsidRPr="009503D7">
        <w:rPr>
          <w:rFonts w:ascii="楷體-繁" w:eastAsia="楷體-繁" w:hAnsi="楷體-繁" w:hint="eastAsia"/>
          <w:b/>
          <w:bCs/>
          <w:color w:val="000000" w:themeColor="text1"/>
          <w:sz w:val="36"/>
          <w:szCs w:val="36"/>
        </w:rPr>
        <w:t>範例</w:t>
      </w:r>
      <w:r w:rsidR="00183544" w:rsidRPr="009503D7">
        <w:rPr>
          <w:rFonts w:ascii="楷體-繁" w:eastAsia="楷體-繁" w:hAnsi="楷體-繁" w:hint="eastAsia"/>
          <w:b/>
          <w:bCs/>
          <w:color w:val="000000" w:themeColor="text1"/>
          <w:sz w:val="36"/>
          <w:szCs w:val="36"/>
        </w:rPr>
        <w:t>』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49"/>
        <w:gridCol w:w="1656"/>
      </w:tblGrid>
      <w:tr w:rsidR="009503D7" w:rsidRPr="009503D7" w14:paraId="38F4F90C" w14:textId="77777777" w:rsidTr="000359E9">
        <w:tc>
          <w:tcPr>
            <w:tcW w:w="9049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926E31" w14:textId="62AF1781" w:rsidR="002C6E52" w:rsidRPr="009503D7" w:rsidRDefault="00DD2E59" w:rsidP="000359E9">
            <w:pPr>
              <w:spacing w:line="0" w:lineRule="atLeast"/>
              <w:jc w:val="center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鑑定指標</w:t>
            </w:r>
          </w:p>
        </w:tc>
        <w:tc>
          <w:tcPr>
            <w:tcW w:w="165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9A3520" w14:textId="2042A0FC" w:rsidR="002C6E52" w:rsidRPr="009503D7" w:rsidRDefault="00DD2E59" w:rsidP="000359E9">
            <w:pPr>
              <w:spacing w:line="0" w:lineRule="atLeast"/>
              <w:jc w:val="center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符合情況</w:t>
            </w:r>
          </w:p>
        </w:tc>
      </w:tr>
      <w:tr w:rsidR="009503D7" w:rsidRPr="009503D7" w14:paraId="01056637" w14:textId="77777777" w:rsidTr="00256E31">
        <w:tc>
          <w:tcPr>
            <w:tcW w:w="9049" w:type="dxa"/>
            <w:tcBorders>
              <w:top w:val="single" w:sz="6" w:space="0" w:color="auto"/>
            </w:tcBorders>
          </w:tcPr>
          <w:p w14:paraId="23DCE4D8" w14:textId="77777777" w:rsidR="003F11A2" w:rsidRPr="009503D7" w:rsidRDefault="003F11A2" w:rsidP="003F11A2">
            <w:pPr>
              <w:spacing w:line="0" w:lineRule="atLeast"/>
              <w:jc w:val="both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一、個案智力表現正常：</w:t>
            </w:r>
          </w:p>
          <w:p w14:paraId="290314D5" w14:textId="0A05FFEB" w:rsidR="002C6E52" w:rsidRPr="009503D7" w:rsidRDefault="003F11A2" w:rsidP="008E62CE">
            <w:pPr>
              <w:spacing w:line="0" w:lineRule="atLeast"/>
              <w:ind w:leftChars="200" w:left="4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FSIQ=81；VCI=83；PRI=93，相差10，未達顯著差異。WMI=78是個案較明顯低落的能力，導師也反應個案若未服藥常會出現不專心、恍神而中斷學習的情況；施測時亦發現有同樣現象</w:t>
            </w:r>
            <w:r w:rsidR="00D16077"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656" w:type="dxa"/>
            <w:tcBorders>
              <w:top w:val="single" w:sz="6" w:space="0" w:color="auto"/>
            </w:tcBorders>
            <w:vAlign w:val="center"/>
          </w:tcPr>
          <w:p w14:paraId="254ABFC8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sym w:font="Wingdings 2" w:char="F052"/>
            </w: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符合</w:t>
            </w:r>
          </w:p>
          <w:p w14:paraId="3FAC1042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□部分符合</w:t>
            </w:r>
          </w:p>
          <w:p w14:paraId="7642F030" w14:textId="46F87B15" w:rsidR="002C6E52" w:rsidRPr="009503D7" w:rsidRDefault="00DD2E59" w:rsidP="00FF0CF5">
            <w:pPr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□不符合</w:t>
            </w:r>
          </w:p>
        </w:tc>
      </w:tr>
      <w:tr w:rsidR="009503D7" w:rsidRPr="009503D7" w14:paraId="02EB6BA4" w14:textId="77777777" w:rsidTr="00256E31">
        <w:tc>
          <w:tcPr>
            <w:tcW w:w="9049" w:type="dxa"/>
          </w:tcPr>
          <w:p w14:paraId="091325CD" w14:textId="77777777" w:rsidR="003F11A2" w:rsidRPr="009503D7" w:rsidRDefault="003F11A2" w:rsidP="003F11A2">
            <w:pPr>
              <w:spacing w:line="0" w:lineRule="atLeast"/>
              <w:jc w:val="both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二、個人內在能力有顯著差異：</w:t>
            </w:r>
          </w:p>
          <w:p w14:paraId="40CFC99C" w14:textId="77777777" w:rsidR="003F11A2" w:rsidRPr="009503D7" w:rsidRDefault="003F11A2" w:rsidP="008E62CE">
            <w:pPr>
              <w:spacing w:line="0" w:lineRule="atLeast"/>
              <w:ind w:leftChars="200" w:left="660" w:hangingChars="75" w:hanging="1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1.能力與成就的差距：智力正常，但國語成績表現皆在全班最後一名。</w:t>
            </w:r>
          </w:p>
          <w:p w14:paraId="7E764786" w14:textId="77777777" w:rsidR="003F11A2" w:rsidRPr="009503D7" w:rsidRDefault="003F11A2" w:rsidP="008E62CE">
            <w:pPr>
              <w:spacing w:line="0" w:lineRule="atLeast"/>
              <w:ind w:leftChars="200" w:left="660" w:hangingChars="75" w:hanging="1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2.成就間的差距：數學科表現較國語科好，如105學年度上學期期末考國語科38分，數學科67分。</w:t>
            </w:r>
          </w:p>
          <w:p w14:paraId="472EFA5C" w14:textId="5D057C08" w:rsidR="002C6E52" w:rsidRPr="009503D7" w:rsidRDefault="003F11A2" w:rsidP="008E62CE">
            <w:pPr>
              <w:spacing w:line="0" w:lineRule="atLeast"/>
              <w:ind w:leftChars="200" w:left="660" w:hangingChars="75" w:hanging="1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3.評量方式的差距：提供不同的評量方式會有較好的表現，口頭評量如口頭造詞、造句或回答問題的表現較紙筆書寫測驗佳</w:t>
            </w:r>
            <w:r w:rsidR="00D16077"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656" w:type="dxa"/>
            <w:vAlign w:val="center"/>
          </w:tcPr>
          <w:p w14:paraId="6AD0D140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sym w:font="Wingdings 2" w:char="F052"/>
            </w: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符合</w:t>
            </w:r>
          </w:p>
          <w:p w14:paraId="67F876D0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□部分符合</w:t>
            </w:r>
          </w:p>
          <w:p w14:paraId="704785F8" w14:textId="41F2FF6D" w:rsidR="002C6E52" w:rsidRPr="009503D7" w:rsidRDefault="00DD2E59" w:rsidP="00FF0CF5">
            <w:pPr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□不符合</w:t>
            </w:r>
          </w:p>
        </w:tc>
      </w:tr>
      <w:tr w:rsidR="009503D7" w:rsidRPr="009503D7" w14:paraId="37FD747E" w14:textId="77777777" w:rsidTr="00256E31">
        <w:tc>
          <w:tcPr>
            <w:tcW w:w="9049" w:type="dxa"/>
          </w:tcPr>
          <w:p w14:paraId="279B954F" w14:textId="77777777" w:rsidR="003F11A2" w:rsidRPr="009503D7" w:rsidRDefault="003F11A2" w:rsidP="00D16077">
            <w:pPr>
              <w:spacing w:line="0" w:lineRule="atLeast"/>
              <w:ind w:left="720" w:hangingChars="300" w:hanging="720"/>
              <w:jc w:val="both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三、個案在學習表現上有顯著困難(聽、說、讀、寫、算)：</w:t>
            </w:r>
          </w:p>
          <w:p w14:paraId="2CF2C497" w14:textId="77777777" w:rsidR="003F11A2" w:rsidRPr="009503D7" w:rsidRDefault="003F11A2" w:rsidP="008E62CE">
            <w:pPr>
              <w:spacing w:line="0" w:lineRule="atLeast"/>
              <w:ind w:leftChars="200" w:left="660" w:hangingChars="75" w:hanging="1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1.讀：會朗讀課文及文章，閱讀速度與同儕相當，但無法主動從文章中找到相關線索，需協助提示。</w:t>
            </w:r>
          </w:p>
          <w:p w14:paraId="786C8F39" w14:textId="77777777" w:rsidR="003F11A2" w:rsidRPr="009503D7" w:rsidRDefault="003F11A2" w:rsidP="008E62CE">
            <w:pPr>
              <w:spacing w:line="0" w:lineRule="atLeast"/>
              <w:ind w:leftChars="200" w:left="660" w:hangingChars="75" w:hanging="1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2.寫：書寫是最大的學習問題，字跡潦草，無法記憶筆順及部件書寫規則，書寫速度緩慢，抄寫時常常超出空格外，經常有鏡體字、筆畫增添或缺漏的情形，聽寫時，國字提取困難。</w:t>
            </w:r>
          </w:p>
          <w:p w14:paraId="1C8D1F76" w14:textId="3DAF6EB3" w:rsidR="002C6E52" w:rsidRPr="009503D7" w:rsidRDefault="003F11A2" w:rsidP="008E62CE">
            <w:pPr>
              <w:spacing w:line="0" w:lineRule="atLeast"/>
              <w:ind w:leftChars="200" w:left="660" w:hangingChars="75" w:hanging="1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3.算：具基本加減運算能力，但需要寫成直式及用心算或手指輔助計算，會背九九乘法，但熟練度不夠，需從頭背。應用題雖然能讀題，但理解題意較差，有時不知如何列式，或是沒有注意到題目中的關鍵字句</w:t>
            </w:r>
            <w:r w:rsidR="00D16077"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656" w:type="dxa"/>
            <w:vAlign w:val="center"/>
          </w:tcPr>
          <w:p w14:paraId="49964ABD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□符合</w:t>
            </w:r>
          </w:p>
          <w:p w14:paraId="25BE22BB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sym w:font="Wingdings 2" w:char="F052"/>
            </w: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部分符合</w:t>
            </w:r>
          </w:p>
          <w:p w14:paraId="6CFCC423" w14:textId="0A473342" w:rsidR="002C6E52" w:rsidRPr="009503D7" w:rsidRDefault="00DD2E59" w:rsidP="00FF0CF5">
            <w:pPr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□不符合</w:t>
            </w:r>
          </w:p>
        </w:tc>
      </w:tr>
      <w:tr w:rsidR="009503D7" w:rsidRPr="009503D7" w14:paraId="70DBA672" w14:textId="77777777" w:rsidTr="00256E31">
        <w:tc>
          <w:tcPr>
            <w:tcW w:w="9049" w:type="dxa"/>
          </w:tcPr>
          <w:p w14:paraId="3EFB9D83" w14:textId="77777777" w:rsidR="00FF0CF5" w:rsidRPr="009503D7" w:rsidRDefault="00FF0CF5" w:rsidP="00FF0CF5">
            <w:pPr>
              <w:spacing w:line="0" w:lineRule="atLeast"/>
              <w:jc w:val="both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四、個案之學習困難經一般教育介入(轉介前介入)無效：</w:t>
            </w:r>
          </w:p>
          <w:p w14:paraId="116AD055" w14:textId="486EB749" w:rsidR="002C6E52" w:rsidRPr="009503D7" w:rsidRDefault="00FF0CF5" w:rsidP="00D16077">
            <w:pPr>
              <w:spacing w:line="0" w:lineRule="atLeast"/>
              <w:ind w:leftChars="200" w:left="4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導師每週二次利用午休時間個別教導個案書寫國字及應用題理解，學習成效不佳，個案經一學期補救教學仍無顯著成效</w:t>
            </w:r>
          </w:p>
        </w:tc>
        <w:tc>
          <w:tcPr>
            <w:tcW w:w="1656" w:type="dxa"/>
            <w:vAlign w:val="center"/>
          </w:tcPr>
          <w:p w14:paraId="5B3FECE7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sym w:font="Wingdings 2" w:char="F052"/>
            </w: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符合</w:t>
            </w:r>
          </w:p>
          <w:p w14:paraId="3E704C69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□部分符合</w:t>
            </w:r>
          </w:p>
          <w:p w14:paraId="49C6F617" w14:textId="75302099" w:rsidR="002C6E52" w:rsidRPr="009503D7" w:rsidRDefault="00DD2E59" w:rsidP="00FF0CF5">
            <w:pPr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□不符合</w:t>
            </w:r>
          </w:p>
        </w:tc>
      </w:tr>
      <w:tr w:rsidR="002C6E52" w:rsidRPr="009503D7" w14:paraId="21BCF471" w14:textId="77777777" w:rsidTr="00256E31">
        <w:tc>
          <w:tcPr>
            <w:tcW w:w="9049" w:type="dxa"/>
          </w:tcPr>
          <w:p w14:paraId="2D42CB6A" w14:textId="77777777" w:rsidR="002C6E52" w:rsidRPr="009503D7" w:rsidRDefault="00FF0CF5" w:rsidP="00D16077">
            <w:pPr>
              <w:spacing w:line="0" w:lineRule="atLeast"/>
              <w:ind w:left="480" w:hangingChars="200" w:hanging="4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五、確認個案之學習困難並非因感官、情緒、教學不當或文化不利等因素造成(排他)：</w:t>
            </w:r>
          </w:p>
          <w:p w14:paraId="358D584E" w14:textId="1FBC0FB2" w:rsidR="00FF0CF5" w:rsidRPr="009503D7" w:rsidRDefault="00FF0CF5" w:rsidP="00D16077">
            <w:pPr>
              <w:spacing w:line="0" w:lineRule="atLeast"/>
              <w:ind w:leftChars="200" w:left="480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學習困難可排除感官、情緒、教學不當和家庭環境功能不足等因素。</w:t>
            </w:r>
          </w:p>
        </w:tc>
        <w:tc>
          <w:tcPr>
            <w:tcW w:w="1656" w:type="dxa"/>
            <w:vAlign w:val="center"/>
          </w:tcPr>
          <w:p w14:paraId="3084A1EE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sym w:font="Wingdings 2" w:char="F052"/>
            </w: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符合</w:t>
            </w:r>
          </w:p>
          <w:p w14:paraId="6B44F4C9" w14:textId="77777777" w:rsidR="00DD2E59" w:rsidRPr="009503D7" w:rsidRDefault="00DD2E59" w:rsidP="00FF0CF5">
            <w:pPr>
              <w:widowControl/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□部分符合</w:t>
            </w:r>
          </w:p>
          <w:p w14:paraId="0A81699A" w14:textId="4F6FAE3E" w:rsidR="002C6E52" w:rsidRPr="009503D7" w:rsidRDefault="00DD2E59" w:rsidP="00FF0CF5">
            <w:pPr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9503D7">
              <w:rPr>
                <w:rFonts w:ascii="楷體-繁" w:eastAsia="楷體-繁" w:hAnsi="楷體-繁" w:hint="eastAsia"/>
                <w:color w:val="000000" w:themeColor="text1"/>
                <w:szCs w:val="24"/>
              </w:rPr>
              <w:t>□不符合</w:t>
            </w:r>
          </w:p>
        </w:tc>
      </w:tr>
    </w:tbl>
    <w:p w14:paraId="404B476B" w14:textId="77777777" w:rsidR="008C4551" w:rsidRPr="009503D7" w:rsidRDefault="008C4551" w:rsidP="00DD2E59">
      <w:pPr>
        <w:spacing w:line="0" w:lineRule="atLeast"/>
        <w:rPr>
          <w:rFonts w:ascii="楷體-繁" w:eastAsia="楷體-繁" w:hAnsi="楷體-繁"/>
          <w:color w:val="000000" w:themeColor="text1"/>
        </w:rPr>
      </w:pPr>
    </w:p>
    <w:sectPr w:rsidR="008C4551" w:rsidRPr="009503D7" w:rsidSect="006B31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478E"/>
    <w:multiLevelType w:val="hybridMultilevel"/>
    <w:tmpl w:val="4AD6877A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2C6492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4F2ACA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446FAC"/>
    <w:multiLevelType w:val="hybridMultilevel"/>
    <w:tmpl w:val="1DEC3FA6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DACC884">
      <w:start w:val="2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9D5B45"/>
    <w:multiLevelType w:val="hybridMultilevel"/>
    <w:tmpl w:val="54D015F8"/>
    <w:lvl w:ilvl="0" w:tplc="45DC5A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174BD6"/>
    <w:multiLevelType w:val="hybridMultilevel"/>
    <w:tmpl w:val="80D62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AC223F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4117385">
    <w:abstractNumId w:val="6"/>
  </w:num>
  <w:num w:numId="2" w16cid:durableId="1751854980">
    <w:abstractNumId w:val="0"/>
  </w:num>
  <w:num w:numId="3" w16cid:durableId="2051684112">
    <w:abstractNumId w:val="4"/>
  </w:num>
  <w:num w:numId="4" w16cid:durableId="827478002">
    <w:abstractNumId w:val="5"/>
  </w:num>
  <w:num w:numId="5" w16cid:durableId="362638882">
    <w:abstractNumId w:val="1"/>
  </w:num>
  <w:num w:numId="6" w16cid:durableId="1987928448">
    <w:abstractNumId w:val="2"/>
  </w:num>
  <w:num w:numId="7" w16cid:durableId="348877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70"/>
    <w:rsid w:val="000359E9"/>
    <w:rsid w:val="00183544"/>
    <w:rsid w:val="00256E31"/>
    <w:rsid w:val="002C6E52"/>
    <w:rsid w:val="003F11A2"/>
    <w:rsid w:val="00404E2A"/>
    <w:rsid w:val="005B273F"/>
    <w:rsid w:val="006B31AE"/>
    <w:rsid w:val="007E2DB5"/>
    <w:rsid w:val="008C4551"/>
    <w:rsid w:val="008E62CE"/>
    <w:rsid w:val="009210EF"/>
    <w:rsid w:val="009503D7"/>
    <w:rsid w:val="00956840"/>
    <w:rsid w:val="00A44270"/>
    <w:rsid w:val="00B04B5C"/>
    <w:rsid w:val="00BF794C"/>
    <w:rsid w:val="00C4352F"/>
    <w:rsid w:val="00D16077"/>
    <w:rsid w:val="00DD2E59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95D0"/>
  <w15:chartTrackingRefBased/>
  <w15:docId w15:val="{C9482701-CA1F-4917-BFAA-7E076F0F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70"/>
    <w:pPr>
      <w:ind w:leftChars="200" w:left="480"/>
    </w:pPr>
  </w:style>
  <w:style w:type="table" w:styleId="a4">
    <w:name w:val="Table Grid"/>
    <w:basedOn w:val="a1"/>
    <w:uiPriority w:val="39"/>
    <w:rsid w:val="002C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SPEDkingdom</dc:creator>
  <cp:keywords/>
  <dc:description/>
  <cp:lastModifiedBy>毓修 呂</cp:lastModifiedBy>
  <cp:revision>14</cp:revision>
  <dcterms:created xsi:type="dcterms:W3CDTF">2021-08-17T07:39:00Z</dcterms:created>
  <dcterms:modified xsi:type="dcterms:W3CDTF">2024-08-21T06:02:00Z</dcterms:modified>
</cp:coreProperties>
</file>