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C21" w:rsidRDefault="00684C21">
      <w:pPr>
        <w:pStyle w:val="Default"/>
        <w:jc w:val="center"/>
        <w:rPr>
          <w:sz w:val="36"/>
          <w:szCs w:val="36"/>
        </w:rPr>
      </w:pPr>
      <w:bookmarkStart w:id="0" w:name="_GoBack"/>
      <w:bookmarkEnd w:id="0"/>
      <w:r>
        <w:rPr>
          <w:rFonts w:hint="eastAsia"/>
          <w:sz w:val="36"/>
          <w:szCs w:val="36"/>
        </w:rPr>
        <w:t>『特殊需求學生轉</w:t>
      </w:r>
      <w:proofErr w:type="gramStart"/>
      <w:r>
        <w:rPr>
          <w:rFonts w:hint="eastAsia"/>
          <w:sz w:val="36"/>
          <w:szCs w:val="36"/>
        </w:rPr>
        <w:t>介</w:t>
      </w:r>
      <w:proofErr w:type="gramEnd"/>
      <w:r>
        <w:rPr>
          <w:rFonts w:hint="eastAsia"/>
          <w:sz w:val="36"/>
          <w:szCs w:val="36"/>
        </w:rPr>
        <w:t>資料表</w:t>
      </w:r>
      <w:r>
        <w:rPr>
          <w:sz w:val="36"/>
          <w:szCs w:val="36"/>
        </w:rPr>
        <w:t>-</w:t>
      </w:r>
      <w:r>
        <w:rPr>
          <w:rFonts w:ascii="Times New Roman" w:cs="Times New Roman"/>
          <w:sz w:val="36"/>
          <w:szCs w:val="36"/>
        </w:rPr>
        <w:t>100R</w:t>
      </w:r>
      <w:r>
        <w:rPr>
          <w:rFonts w:hint="eastAsia"/>
          <w:sz w:val="36"/>
          <w:szCs w:val="36"/>
        </w:rPr>
        <w:t>』使用說明</w:t>
      </w:r>
      <w:r>
        <w:rPr>
          <w:sz w:val="36"/>
          <w:szCs w:val="36"/>
        </w:rPr>
        <w:t xml:space="preserve"> </w:t>
      </w:r>
    </w:p>
    <w:p w:rsidR="00684C21" w:rsidRDefault="00684C21" w:rsidP="00684C21">
      <w:pPr>
        <w:pStyle w:val="Default"/>
        <w:jc w:val="center"/>
      </w:pPr>
      <w:r>
        <w:rPr>
          <w:rFonts w:hint="eastAsia"/>
        </w:rPr>
        <w:t>洪儷瑜（台灣師大特教系）</w:t>
      </w:r>
      <w:r>
        <w:t>95,01,10</w:t>
      </w:r>
    </w:p>
    <w:p w:rsidR="00684C21" w:rsidRDefault="00684C21">
      <w:pPr>
        <w:pStyle w:val="Default"/>
        <w:numPr>
          <w:ilvl w:val="0"/>
          <w:numId w:val="1"/>
        </w:numPr>
        <w:ind w:left="720" w:hanging="720"/>
        <w:rPr>
          <w:sz w:val="28"/>
          <w:szCs w:val="28"/>
        </w:rPr>
      </w:pPr>
      <w:r>
        <w:rPr>
          <w:rFonts w:hint="eastAsia"/>
          <w:sz w:val="28"/>
          <w:szCs w:val="28"/>
        </w:rPr>
        <w:t>一、</w:t>
      </w:r>
      <w:r>
        <w:rPr>
          <w:rFonts w:ascii="新細明體" w:eastAsia="新細明體" w:cs="新細明體"/>
          <w:sz w:val="28"/>
          <w:szCs w:val="28"/>
        </w:rPr>
        <w:t xml:space="preserve"> </w:t>
      </w:r>
      <w:r>
        <w:rPr>
          <w:rFonts w:hint="eastAsia"/>
          <w:sz w:val="28"/>
          <w:szCs w:val="28"/>
        </w:rPr>
        <w:t>內容</w:t>
      </w:r>
      <w:r>
        <w:rPr>
          <w:sz w:val="28"/>
          <w:szCs w:val="28"/>
        </w:rPr>
        <w:t xml:space="preserve"> </w:t>
      </w:r>
    </w:p>
    <w:p w:rsidR="00684C21" w:rsidRDefault="00684C21">
      <w:pPr>
        <w:pStyle w:val="Default"/>
        <w:rPr>
          <w:rFonts w:cs="Times New Roman"/>
          <w:sz w:val="28"/>
          <w:szCs w:val="28"/>
        </w:rPr>
      </w:pPr>
    </w:p>
    <w:p w:rsidR="00684C21" w:rsidRDefault="00684C21" w:rsidP="00684C21">
      <w:pPr>
        <w:pStyle w:val="Default"/>
        <w:ind w:leftChars="100" w:left="240" w:firstLineChars="195" w:firstLine="468"/>
        <w:rPr>
          <w:rFonts w:cs="Times New Roman"/>
        </w:rPr>
      </w:pPr>
      <w:r>
        <w:rPr>
          <w:rFonts w:hint="eastAsia"/>
        </w:rPr>
        <w:t>九大部份：</w:t>
      </w:r>
      <w:r>
        <w:t>1.</w:t>
      </w:r>
      <w:r>
        <w:rPr>
          <w:rFonts w:hint="eastAsia"/>
        </w:rPr>
        <w:t>生理、</w:t>
      </w:r>
      <w:r>
        <w:t>2.</w:t>
      </w:r>
      <w:r>
        <w:rPr>
          <w:rFonts w:hint="eastAsia"/>
        </w:rPr>
        <w:t>感官動作、</w:t>
      </w:r>
      <w:r>
        <w:t>3.</w:t>
      </w:r>
      <w:r>
        <w:rPr>
          <w:rFonts w:hint="eastAsia"/>
        </w:rPr>
        <w:t>學業表現、</w:t>
      </w:r>
      <w:r>
        <w:t>4.</w:t>
      </w:r>
      <w:r>
        <w:rPr>
          <w:rFonts w:hint="eastAsia"/>
        </w:rPr>
        <w:t>學習能力、</w:t>
      </w:r>
      <w:r>
        <w:t>5.</w:t>
      </w:r>
      <w:r>
        <w:rPr>
          <w:rFonts w:hint="eastAsia"/>
        </w:rPr>
        <w:t>口語能力、</w:t>
      </w:r>
      <w:r>
        <w:t>6.</w:t>
      </w:r>
      <w:r>
        <w:rPr>
          <w:rFonts w:hint="eastAsia"/>
        </w:rPr>
        <w:t>團體生活、</w:t>
      </w:r>
    </w:p>
    <w:p w:rsidR="00684C21" w:rsidRDefault="00684C21" w:rsidP="00684C21">
      <w:pPr>
        <w:pStyle w:val="Default"/>
        <w:ind w:firstLineChars="100" w:firstLine="240"/>
        <w:rPr>
          <w:rFonts w:cs="Times New Roman"/>
        </w:rPr>
      </w:pPr>
      <w:r>
        <w:t>7.</w:t>
      </w:r>
      <w:r>
        <w:rPr>
          <w:rFonts w:hint="eastAsia"/>
        </w:rPr>
        <w:t>個人生活、</w:t>
      </w:r>
      <w:r>
        <w:t>8.</w:t>
      </w:r>
      <w:r>
        <w:rPr>
          <w:rFonts w:hint="eastAsia"/>
        </w:rPr>
        <w:t>行為情緒適應、</w:t>
      </w:r>
      <w:r>
        <w:t>9.</w:t>
      </w:r>
      <w:r>
        <w:rPr>
          <w:rFonts w:hint="eastAsia"/>
        </w:rPr>
        <w:t>家庭社區。</w:t>
      </w:r>
      <w:r>
        <w:t xml:space="preserve"> </w:t>
      </w:r>
    </w:p>
    <w:p w:rsidR="00684C21" w:rsidRDefault="00684C21" w:rsidP="00684C21">
      <w:pPr>
        <w:pStyle w:val="Default"/>
        <w:ind w:firstLineChars="295" w:firstLine="708"/>
        <w:rPr>
          <w:rFonts w:cs="Times New Roman"/>
        </w:rPr>
      </w:pPr>
    </w:p>
    <w:p w:rsidR="00684C21" w:rsidRDefault="00684C21" w:rsidP="00684C21">
      <w:pPr>
        <w:pStyle w:val="Default"/>
        <w:ind w:firstLineChars="295" w:firstLine="708"/>
        <w:rPr>
          <w:rFonts w:cs="Times New Roman"/>
        </w:rPr>
      </w:pPr>
    </w:p>
    <w:p w:rsidR="00684C21" w:rsidRDefault="00684C21">
      <w:pPr>
        <w:pStyle w:val="Default"/>
        <w:numPr>
          <w:ilvl w:val="0"/>
          <w:numId w:val="2"/>
        </w:numPr>
        <w:ind w:left="720" w:hanging="720"/>
        <w:rPr>
          <w:sz w:val="28"/>
          <w:szCs w:val="28"/>
        </w:rPr>
      </w:pPr>
      <w:r>
        <w:rPr>
          <w:rFonts w:hint="eastAsia"/>
          <w:sz w:val="28"/>
          <w:szCs w:val="28"/>
        </w:rPr>
        <w:t>二、</w:t>
      </w:r>
      <w:r>
        <w:rPr>
          <w:rFonts w:ascii="新細明體" w:eastAsia="新細明體" w:cs="新細明體"/>
          <w:sz w:val="28"/>
          <w:szCs w:val="28"/>
        </w:rPr>
        <w:t xml:space="preserve"> </w:t>
      </w:r>
      <w:r>
        <w:rPr>
          <w:rFonts w:hint="eastAsia"/>
          <w:sz w:val="28"/>
          <w:szCs w:val="28"/>
        </w:rPr>
        <w:t>參考轉</w:t>
      </w:r>
      <w:proofErr w:type="gramStart"/>
      <w:r>
        <w:rPr>
          <w:rFonts w:hint="eastAsia"/>
          <w:sz w:val="28"/>
          <w:szCs w:val="28"/>
        </w:rPr>
        <w:t>介</w:t>
      </w:r>
      <w:proofErr w:type="gramEnd"/>
      <w:r>
        <w:rPr>
          <w:rFonts w:hint="eastAsia"/>
          <w:sz w:val="28"/>
          <w:szCs w:val="28"/>
        </w:rPr>
        <w:t>主要問題進行懷疑</w:t>
      </w:r>
      <w:r>
        <w:rPr>
          <w:sz w:val="28"/>
          <w:szCs w:val="28"/>
        </w:rPr>
        <w:t xml:space="preserve"> </w:t>
      </w:r>
    </w:p>
    <w:p w:rsidR="00684C21" w:rsidRDefault="00684C21">
      <w:pPr>
        <w:pStyle w:val="Default"/>
        <w:rPr>
          <w:rFonts w:cs="Times New Roman"/>
          <w:sz w:val="28"/>
          <w:szCs w:val="28"/>
        </w:rPr>
      </w:pPr>
    </w:p>
    <w:tbl>
      <w:tblPr>
        <w:tblW w:w="0" w:type="auto"/>
        <w:tblLook w:val="0000" w:firstRow="0" w:lastRow="0" w:firstColumn="0" w:lastColumn="0" w:noHBand="0" w:noVBand="0"/>
      </w:tblPr>
      <w:tblGrid>
        <w:gridCol w:w="2089"/>
        <w:gridCol w:w="8439"/>
      </w:tblGrid>
      <w:tr w:rsidR="00684C21" w:rsidTr="00684C21">
        <w:trPr>
          <w:trHeight w:val="240"/>
        </w:trPr>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jc w:val="center"/>
            </w:pPr>
            <w:r>
              <w:rPr>
                <w:rFonts w:hint="eastAsia"/>
              </w:rPr>
              <w:t>懷疑障礙</w:t>
            </w:r>
            <w: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jc w:val="center"/>
            </w:pPr>
            <w:r>
              <w:rPr>
                <w:rFonts w:hint="eastAsia"/>
              </w:rPr>
              <w:t>參閱之主要項目</w:t>
            </w:r>
            <w:r>
              <w:t xml:space="preserve"> </w:t>
            </w:r>
          </w:p>
        </w:tc>
      </w:tr>
      <w:tr w:rsidR="00684C21" w:rsidTr="00684C21">
        <w:trPr>
          <w:trHeight w:val="240"/>
        </w:trPr>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身體病弱（生理疾病）</w:t>
            </w:r>
            <w: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一、二</w:t>
            </w:r>
            <w:r>
              <w:t xml:space="preserve"> </w:t>
            </w:r>
          </w:p>
        </w:tc>
      </w:tr>
      <w:tr w:rsidR="00684C21" w:rsidTr="00684C21">
        <w:trPr>
          <w:trHeight w:val="1010"/>
        </w:trPr>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感官障礙或動作問題</w:t>
            </w:r>
            <w: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二、視覺</w:t>
            </w:r>
            <w:r>
              <w:t>(7-9,12</w:t>
            </w:r>
            <w:r>
              <w:rPr>
                <w:rFonts w:ascii="Times New Roman" w:cs="Times New Roman"/>
              </w:rPr>
              <w:t>,72-76</w:t>
            </w:r>
            <w:r>
              <w:t xml:space="preserve">) </w:t>
            </w:r>
          </w:p>
          <w:p w:rsidR="00684C21" w:rsidRDefault="00684C21">
            <w:pPr>
              <w:pStyle w:val="Default"/>
            </w:pPr>
            <w:r>
              <w:t xml:space="preserve">    </w:t>
            </w:r>
            <w:r>
              <w:rPr>
                <w:rFonts w:hint="eastAsia"/>
              </w:rPr>
              <w:t>聽覺</w:t>
            </w:r>
            <w:r>
              <w:t xml:space="preserve">(7,10-11,48-52) </w:t>
            </w:r>
          </w:p>
          <w:p w:rsidR="00684C21" w:rsidRDefault="00684C21">
            <w:pPr>
              <w:pStyle w:val="Default"/>
            </w:pPr>
            <w:r>
              <w:t xml:space="preserve">    </w:t>
            </w:r>
            <w:r>
              <w:rPr>
                <w:rFonts w:hint="eastAsia"/>
              </w:rPr>
              <w:t>動作</w:t>
            </w:r>
            <w:r>
              <w:t xml:space="preserve">(12-16) </w:t>
            </w:r>
          </w:p>
        </w:tc>
      </w:tr>
      <w:tr w:rsidR="00684C21" w:rsidTr="00684C21">
        <w:trPr>
          <w:trHeight w:val="986"/>
        </w:trPr>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智能障礙</w:t>
            </w:r>
            <w: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二（</w:t>
            </w:r>
            <w:r>
              <w:t>7,</w:t>
            </w:r>
            <w:r>
              <w:rPr>
                <w:u w:val="single"/>
              </w:rPr>
              <w:t>10</w:t>
            </w:r>
            <w:r>
              <w:rPr>
                <w:rFonts w:hint="eastAsia"/>
              </w:rPr>
              <w:t>）、三</w:t>
            </w:r>
            <w:r>
              <w:t>(18,</w:t>
            </w:r>
            <w:r>
              <w:rPr>
                <w:u w:val="single"/>
              </w:rPr>
              <w:t>23</w:t>
            </w:r>
            <w:r>
              <w:rPr>
                <w:rFonts w:hint="eastAsia"/>
              </w:rPr>
              <w:t>，</w:t>
            </w:r>
            <w:r>
              <w:t>24-27,</w:t>
            </w:r>
            <w:r>
              <w:rPr>
                <w:rFonts w:ascii="Times New Roman" w:cs="Times New Roman"/>
              </w:rPr>
              <w:t>28</w:t>
            </w:r>
            <w:r>
              <w:rPr>
                <w:u w:val="single"/>
              </w:rPr>
              <w:t>,30</w:t>
            </w:r>
            <w:r>
              <w:t>,35,38)</w:t>
            </w:r>
            <w:r>
              <w:rPr>
                <w:rFonts w:hint="eastAsia"/>
              </w:rPr>
              <w:t>、四</w:t>
            </w:r>
            <w:r>
              <w:rPr>
                <w:rFonts w:ascii="Times New Roman" w:cs="Times New Roman"/>
              </w:rPr>
              <w:t>(</w:t>
            </w:r>
            <w:r>
              <w:t>40</w:t>
            </w:r>
            <w:r>
              <w:rPr>
                <w:rFonts w:ascii="Times New Roman" w:cs="Times New Roman"/>
              </w:rPr>
              <w:t>,</w:t>
            </w:r>
            <w:r>
              <w:rPr>
                <w:rFonts w:ascii="Times New Roman" w:cs="Times New Roman"/>
                <w:u w:val="single"/>
              </w:rPr>
              <w:t>41</w:t>
            </w:r>
            <w:r>
              <w:rPr>
                <w:rFonts w:ascii="Times New Roman" w:cs="Times New Roman"/>
              </w:rPr>
              <w:t>,43,44</w:t>
            </w:r>
            <w:r>
              <w:t>)</w:t>
            </w:r>
            <w:r>
              <w:rPr>
                <w:rFonts w:hint="eastAsia"/>
              </w:rPr>
              <w:t>、五</w:t>
            </w:r>
            <w:r>
              <w:t>(</w:t>
            </w:r>
            <w:r>
              <w:rPr>
                <w:u w:val="single"/>
              </w:rPr>
              <w:t>49</w:t>
            </w:r>
            <w:r>
              <w:rPr>
                <w:rFonts w:ascii="Times New Roman" w:cs="Times New Roman"/>
              </w:rPr>
              <w:t>,55</w:t>
            </w:r>
            <w:r>
              <w:t>)</w:t>
            </w:r>
            <w:r>
              <w:rPr>
                <w:rFonts w:hint="eastAsia"/>
              </w:rPr>
              <w:t>、六</w:t>
            </w:r>
            <w:r>
              <w:t>(67)</w:t>
            </w:r>
            <w:r>
              <w:rPr>
                <w:rFonts w:hint="eastAsia"/>
              </w:rPr>
              <w:t>、八</w:t>
            </w:r>
            <w:r>
              <w:t>(</w:t>
            </w:r>
            <w:r>
              <w:rPr>
                <w:rFonts w:ascii="Times New Roman" w:cs="Times New Roman"/>
                <w:u w:val="single"/>
              </w:rPr>
              <w:t>81</w:t>
            </w:r>
            <w:r>
              <w:t xml:space="preserve">) </w:t>
            </w:r>
          </w:p>
        </w:tc>
      </w:tr>
      <w:tr w:rsidR="00684C21" w:rsidTr="00684C21">
        <w:trPr>
          <w:trHeight w:val="1036"/>
        </w:trPr>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學習障礙</w:t>
            </w:r>
            <w: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二（</w:t>
            </w:r>
            <w:r>
              <w:rPr>
                <w:rFonts w:ascii="Times New Roman" w:cs="Times New Roman"/>
                <w:u w:val="single"/>
              </w:rPr>
              <w:t>17</w:t>
            </w:r>
            <w:r>
              <w:rPr>
                <w:rFonts w:hint="eastAsia"/>
              </w:rPr>
              <w:t>）、三</w:t>
            </w:r>
            <w:r>
              <w:t>(1</w:t>
            </w:r>
            <w:r>
              <w:rPr>
                <w:rFonts w:ascii="Times New Roman" w:cs="Times New Roman"/>
              </w:rPr>
              <w:t>8,</w:t>
            </w:r>
            <w:r>
              <w:rPr>
                <w:rFonts w:ascii="Times New Roman" w:cs="Times New Roman"/>
                <w:u w:val="single"/>
              </w:rPr>
              <w:t>19</w:t>
            </w:r>
            <w:r>
              <w:rPr>
                <w:rFonts w:ascii="Times New Roman" w:cs="Times New Roman"/>
              </w:rPr>
              <w:t>,24,26,28,35,38</w:t>
            </w:r>
            <w:r>
              <w:t>)</w:t>
            </w:r>
            <w:r>
              <w:rPr>
                <w:rFonts w:hint="eastAsia"/>
              </w:rPr>
              <w:t>、四</w:t>
            </w:r>
            <w:r>
              <w:rPr>
                <w:rFonts w:ascii="Times New Roman" w:cs="Times New Roman"/>
              </w:rPr>
              <w:t>(</w:t>
            </w:r>
            <w:r>
              <w:t>40,44)</w:t>
            </w:r>
            <w:r>
              <w:rPr>
                <w:rFonts w:hint="eastAsia"/>
              </w:rPr>
              <w:t>、五（</w:t>
            </w:r>
            <w:r>
              <w:rPr>
                <w:rFonts w:ascii="Times New Roman" w:cs="Times New Roman"/>
              </w:rPr>
              <w:t>55</w:t>
            </w:r>
            <w:r>
              <w:rPr>
                <w:rFonts w:hint="eastAsia"/>
              </w:rPr>
              <w:t>）、六（</w:t>
            </w:r>
            <w:r>
              <w:rPr>
                <w:rFonts w:ascii="Times New Roman" w:cs="Times New Roman"/>
                <w:u w:val="single"/>
              </w:rPr>
              <w:t>57,</w:t>
            </w:r>
            <w:r>
              <w:rPr>
                <w:rFonts w:ascii="Times New Roman" w:cs="Times New Roman"/>
              </w:rPr>
              <w:t>63,67</w:t>
            </w:r>
            <w:r>
              <w:rPr>
                <w:rFonts w:hint="eastAsia"/>
              </w:rPr>
              <w:t>）、七（</w:t>
            </w:r>
            <w:r>
              <w:rPr>
                <w:u w:val="single"/>
              </w:rPr>
              <w:t>79</w:t>
            </w:r>
            <w:r>
              <w:rPr>
                <w:rFonts w:hint="eastAsia"/>
                <w:u w:val="single"/>
              </w:rPr>
              <w:t>）</w:t>
            </w:r>
            <w:r>
              <w:rPr>
                <w:rFonts w:hint="eastAsia"/>
              </w:rPr>
              <w:t>、八</w:t>
            </w:r>
            <w:r>
              <w:t>(</w:t>
            </w:r>
            <w:r>
              <w:rPr>
                <w:rFonts w:ascii="Times New Roman" w:cs="Times New Roman"/>
                <w:u w:val="single"/>
              </w:rPr>
              <w:t>92</w:t>
            </w:r>
            <w:r>
              <w:t xml:space="preserve">) </w:t>
            </w:r>
          </w:p>
        </w:tc>
      </w:tr>
      <w:tr w:rsidR="00684C21" w:rsidTr="00684C21">
        <w:trPr>
          <w:trHeight w:val="1036"/>
        </w:trPr>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情緒障礙</w:t>
            </w:r>
            <w: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三</w:t>
            </w:r>
            <w:r>
              <w:t>(</w:t>
            </w:r>
            <w:r>
              <w:rPr>
                <w:u w:val="single"/>
              </w:rPr>
              <w:t>20)</w:t>
            </w:r>
            <w:r>
              <w:rPr>
                <w:rFonts w:hint="eastAsia"/>
              </w:rPr>
              <w:t>、四（</w:t>
            </w:r>
            <w:r>
              <w:rPr>
                <w:rFonts w:ascii="Times New Roman" w:cs="Times New Roman"/>
              </w:rPr>
              <w:t>42</w:t>
            </w:r>
            <w:r>
              <w:rPr>
                <w:rFonts w:hint="eastAsia"/>
              </w:rPr>
              <w:t>）、五</w:t>
            </w:r>
            <w:r>
              <w:t>(52)</w:t>
            </w:r>
            <w:r>
              <w:rPr>
                <w:rFonts w:hint="eastAsia"/>
              </w:rPr>
              <w:t>、六</w:t>
            </w:r>
            <w:r>
              <w:t>(60,</w:t>
            </w:r>
            <w:r>
              <w:rPr>
                <w:rFonts w:ascii="Times New Roman" w:cs="Times New Roman"/>
              </w:rPr>
              <w:t>61,</w:t>
            </w:r>
            <w:r>
              <w:rPr>
                <w:rFonts w:ascii="Times New Roman" w:cs="Times New Roman"/>
                <w:u w:val="single"/>
              </w:rPr>
              <w:t>62</w:t>
            </w:r>
            <w:r>
              <w:rPr>
                <w:rFonts w:ascii="Times New Roman" w:cs="Times New Roman"/>
              </w:rPr>
              <w:t>,63,</w:t>
            </w:r>
            <w:r>
              <w:rPr>
                <w:rFonts w:ascii="Times New Roman" w:cs="Times New Roman"/>
                <w:u w:val="single"/>
              </w:rPr>
              <w:t>65,66</w:t>
            </w:r>
            <w:r>
              <w:rPr>
                <w:u w:val="single"/>
              </w:rPr>
              <w:t>)</w:t>
            </w:r>
            <w:r>
              <w:rPr>
                <w:rFonts w:hint="eastAsia"/>
              </w:rPr>
              <w:t>、八</w:t>
            </w:r>
            <w:r>
              <w:t>(</w:t>
            </w:r>
            <w:r>
              <w:rPr>
                <w:rFonts w:ascii="Times New Roman" w:cs="Times New Roman"/>
              </w:rPr>
              <w:t>80</w:t>
            </w:r>
            <w:r>
              <w:t>,</w:t>
            </w:r>
            <w:r>
              <w:rPr>
                <w:u w:val="single"/>
              </w:rPr>
              <w:t>82,83</w:t>
            </w:r>
            <w:r>
              <w:t xml:space="preserve">,87,91) </w:t>
            </w:r>
          </w:p>
        </w:tc>
      </w:tr>
      <w:tr w:rsidR="00684C21" w:rsidTr="00684C21">
        <w:trPr>
          <w:trHeight w:val="676"/>
        </w:trPr>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hint="eastAsia"/>
              </w:rPr>
              <w:t>注意力缺陷過動症</w:t>
            </w:r>
            <w:r>
              <w:rPr>
                <w:rFonts w:ascii="Times New Roman" w:cs="Times New Roman"/>
              </w:rPr>
              <w:t xml:space="preserve">(ADHD)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hint="eastAsia"/>
              </w:rPr>
              <w:t>三（</w:t>
            </w:r>
            <w:r>
              <w:rPr>
                <w:rFonts w:ascii="Times New Roman" w:cs="Times New Roman"/>
              </w:rPr>
              <w:t>20</w:t>
            </w:r>
            <w:r>
              <w:rPr>
                <w:rFonts w:hint="eastAsia"/>
              </w:rPr>
              <w:t>）、四（</w:t>
            </w:r>
            <w:r>
              <w:rPr>
                <w:rFonts w:ascii="Times New Roman" w:cs="Times New Roman"/>
              </w:rPr>
              <w:t>42-43</w:t>
            </w:r>
            <w:r>
              <w:rPr>
                <w:rFonts w:hint="eastAsia"/>
              </w:rPr>
              <w:t>）、六（</w:t>
            </w:r>
            <w:r>
              <w:rPr>
                <w:rFonts w:ascii="Times New Roman" w:cs="Times New Roman"/>
              </w:rPr>
              <w:t>60-63</w:t>
            </w:r>
            <w:r>
              <w:rPr>
                <w:rFonts w:hint="eastAsia"/>
              </w:rPr>
              <w:t>）、</w:t>
            </w:r>
            <w:r>
              <w:rPr>
                <w:rFonts w:ascii="Times New Roman" w:cs="Times New Roman"/>
              </w:rPr>
              <w:t xml:space="preserve"> </w:t>
            </w:r>
          </w:p>
          <w:p w:rsidR="00684C21" w:rsidRDefault="00684C21">
            <w:pPr>
              <w:pStyle w:val="Default"/>
              <w:rPr>
                <w:rFonts w:ascii="Times New Roman" w:cs="Times New Roman"/>
              </w:rPr>
            </w:pPr>
            <w:r>
              <w:rPr>
                <w:rFonts w:hint="eastAsia"/>
              </w:rPr>
              <w:t>七（</w:t>
            </w:r>
            <w:r>
              <w:rPr>
                <w:rFonts w:ascii="Times New Roman" w:cs="Times New Roman"/>
              </w:rPr>
              <w:t>75-76</w:t>
            </w:r>
            <w:r>
              <w:rPr>
                <w:rFonts w:hint="eastAsia"/>
              </w:rPr>
              <w:t>）、八</w:t>
            </w:r>
            <w:r>
              <w:rPr>
                <w:rFonts w:ascii="Times New Roman" w:cs="Times New Roman"/>
              </w:rPr>
              <w:t xml:space="preserve">(80, 89) </w:t>
            </w:r>
          </w:p>
        </w:tc>
      </w:tr>
      <w:tr w:rsidR="00684C21" w:rsidTr="00684C21">
        <w:trPr>
          <w:trHeight w:val="1396"/>
        </w:trPr>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自閉症</w:t>
            </w:r>
            <w: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pPr>
            <w:r>
              <w:rPr>
                <w:rFonts w:hint="eastAsia"/>
              </w:rPr>
              <w:t>二（</w:t>
            </w:r>
            <w:r>
              <w:t>7,</w:t>
            </w:r>
            <w:r>
              <w:rPr>
                <w:u w:val="single"/>
              </w:rPr>
              <w:t>14,15</w:t>
            </w:r>
            <w:r>
              <w:rPr>
                <w:rFonts w:hint="eastAsia"/>
              </w:rPr>
              <w:t>）、三（</w:t>
            </w:r>
            <w:r>
              <w:rPr>
                <w:rFonts w:ascii="Times New Roman" w:cs="Times New Roman"/>
              </w:rPr>
              <w:t>25,27</w:t>
            </w:r>
            <w:r>
              <w:rPr>
                <w:rFonts w:hint="eastAsia"/>
              </w:rPr>
              <w:t>）、四（</w:t>
            </w:r>
            <w:r>
              <w:rPr>
                <w:rFonts w:ascii="Times New Roman" w:cs="Times New Roman"/>
              </w:rPr>
              <w:t>42,43,44,</w:t>
            </w:r>
            <w:r>
              <w:rPr>
                <w:rFonts w:ascii="Times New Roman" w:cs="Times New Roman"/>
                <w:u w:val="single"/>
              </w:rPr>
              <w:t>46</w:t>
            </w:r>
            <w:r>
              <w:rPr>
                <w:rFonts w:hint="eastAsia"/>
              </w:rPr>
              <w:t>）、五</w:t>
            </w:r>
            <w:r>
              <w:t>(52</w:t>
            </w:r>
            <w:r>
              <w:rPr>
                <w:rFonts w:ascii="Times New Roman" w:cs="Times New Roman"/>
              </w:rPr>
              <w:t>,</w:t>
            </w:r>
            <w:r>
              <w:rPr>
                <w:rFonts w:ascii="Times New Roman" w:cs="Times New Roman"/>
                <w:u w:val="single"/>
              </w:rPr>
              <w:t>53</w:t>
            </w:r>
            <w:r>
              <w:t>)</w:t>
            </w:r>
            <w:r>
              <w:rPr>
                <w:rFonts w:hint="eastAsia"/>
              </w:rPr>
              <w:t>、六</w:t>
            </w:r>
            <w:r>
              <w:t>(</w:t>
            </w:r>
            <w:r>
              <w:rPr>
                <w:u w:val="single"/>
              </w:rPr>
              <w:t>58,59,</w:t>
            </w:r>
            <w:r>
              <w:t>60,</w:t>
            </w:r>
            <w:r>
              <w:rPr>
                <w:rFonts w:ascii="Times New Roman" w:cs="Times New Roman"/>
              </w:rPr>
              <w:t>61</w:t>
            </w:r>
            <w:r>
              <w:t>)</w:t>
            </w:r>
            <w:r>
              <w:rPr>
                <w:rFonts w:hint="eastAsia"/>
              </w:rPr>
              <w:t>、七</w:t>
            </w:r>
            <w:r>
              <w:t>(</w:t>
            </w:r>
            <w:r>
              <w:rPr>
                <w:u w:val="single"/>
              </w:rPr>
              <w:t>71,72,77)</w:t>
            </w:r>
            <w:r>
              <w:rPr>
                <w:rFonts w:hint="eastAsia"/>
              </w:rPr>
              <w:t>、八</w:t>
            </w:r>
            <w:r>
              <w:t>(</w:t>
            </w:r>
            <w:r>
              <w:rPr>
                <w:rFonts w:ascii="Times New Roman" w:cs="Times New Roman"/>
              </w:rPr>
              <w:t>80</w:t>
            </w:r>
            <w:r>
              <w:t>,</w:t>
            </w:r>
            <w:r>
              <w:rPr>
                <w:u w:val="single"/>
              </w:rPr>
              <w:t>85</w:t>
            </w:r>
            <w:r>
              <w:t>,87,</w:t>
            </w:r>
            <w:r>
              <w:rPr>
                <w:u w:val="single"/>
              </w:rPr>
              <w:t>88,89,90</w:t>
            </w:r>
            <w:r>
              <w:rPr>
                <w:rFonts w:ascii="Times New Roman" w:cs="Times New Roman"/>
              </w:rPr>
              <w:t>,91</w:t>
            </w:r>
            <w:r>
              <w:t xml:space="preserve">) </w:t>
            </w:r>
          </w:p>
        </w:tc>
      </w:tr>
    </w:tbl>
    <w:p w:rsidR="00684C21" w:rsidRDefault="00684C21">
      <w:pPr>
        <w:pStyle w:val="Default"/>
        <w:rPr>
          <w:rFonts w:cs="Times New Roman"/>
          <w:color w:val="auto"/>
        </w:rPr>
      </w:pPr>
    </w:p>
    <w:p w:rsidR="00684C21" w:rsidRDefault="00684C21" w:rsidP="00684C21">
      <w:pPr>
        <w:pStyle w:val="Default"/>
        <w:ind w:left="770" w:hanging="210"/>
        <w:rPr>
          <w:color w:val="auto"/>
        </w:rPr>
      </w:pPr>
      <w:r>
        <w:rPr>
          <w:color w:val="auto"/>
        </w:rPr>
        <w:t>1.</w:t>
      </w:r>
      <w:r>
        <w:rPr>
          <w:rFonts w:hint="eastAsia"/>
          <w:color w:val="auto"/>
        </w:rPr>
        <w:t>每一大項後括號內</w:t>
      </w:r>
      <w:proofErr w:type="gramStart"/>
      <w:r>
        <w:rPr>
          <w:rFonts w:hint="eastAsia"/>
          <w:color w:val="auto"/>
        </w:rPr>
        <w:t>所示之題號</w:t>
      </w:r>
      <w:proofErr w:type="gramEnd"/>
      <w:r>
        <w:rPr>
          <w:rFonts w:hint="eastAsia"/>
          <w:color w:val="auto"/>
        </w:rPr>
        <w:t>表示該項行為的出現為該類障礙之高危險群；而每一大項後括號內</w:t>
      </w:r>
      <w:proofErr w:type="gramStart"/>
      <w:r>
        <w:rPr>
          <w:rFonts w:hint="eastAsia"/>
          <w:color w:val="auto"/>
        </w:rPr>
        <w:t>所示之題號</w:t>
      </w:r>
      <w:proofErr w:type="gramEnd"/>
      <w:r>
        <w:rPr>
          <w:rFonts w:hint="eastAsia"/>
          <w:color w:val="auto"/>
        </w:rPr>
        <w:t>被勾選越多，表示該生可能有該類障礙的危險性越高。</w:t>
      </w:r>
      <w:r>
        <w:rPr>
          <w:color w:val="auto"/>
        </w:rPr>
        <w:t xml:space="preserve"> </w:t>
      </w:r>
    </w:p>
    <w:p w:rsidR="00684C21" w:rsidRDefault="00684C21" w:rsidP="00684C21">
      <w:pPr>
        <w:pStyle w:val="Default"/>
        <w:ind w:left="770" w:hanging="210"/>
        <w:rPr>
          <w:color w:val="auto"/>
        </w:rPr>
      </w:pPr>
      <w:r>
        <w:rPr>
          <w:color w:val="auto"/>
        </w:rPr>
        <w:t>2.</w:t>
      </w:r>
      <w:r>
        <w:rPr>
          <w:rFonts w:hint="eastAsia"/>
          <w:color w:val="auto"/>
        </w:rPr>
        <w:t>學業表現請務必參考第三項</w:t>
      </w:r>
      <w:proofErr w:type="gramStart"/>
      <w:r>
        <w:rPr>
          <w:rFonts w:hint="eastAsia"/>
          <w:color w:val="auto"/>
        </w:rPr>
        <w:t>註</w:t>
      </w:r>
      <w:proofErr w:type="gramEnd"/>
      <w:r>
        <w:rPr>
          <w:rFonts w:hint="eastAsia"/>
          <w:color w:val="auto"/>
        </w:rPr>
        <w:t>有</w:t>
      </w:r>
      <w:r>
        <w:rPr>
          <w:color w:val="auto"/>
        </w:rPr>
        <w:t>**</w:t>
      </w:r>
      <w:r>
        <w:rPr>
          <w:rFonts w:hint="eastAsia"/>
          <w:color w:val="auto"/>
        </w:rPr>
        <w:t>題的相對位置，尤其在智能障礙與學習障礙之篩選。</w:t>
      </w:r>
      <w:r>
        <w:rPr>
          <w:color w:val="auto"/>
        </w:rPr>
        <w:t xml:space="preserve"> </w:t>
      </w:r>
    </w:p>
    <w:p w:rsidR="00684C21" w:rsidRDefault="00684C21" w:rsidP="00684C21">
      <w:pPr>
        <w:pStyle w:val="Default"/>
        <w:ind w:left="770" w:hanging="210"/>
        <w:rPr>
          <w:rFonts w:ascii="Times New Roman" w:cs="Times New Roman"/>
          <w:color w:val="auto"/>
        </w:rPr>
      </w:pPr>
      <w:r>
        <w:rPr>
          <w:rFonts w:ascii="Times New Roman" w:cs="Times New Roman"/>
          <w:color w:val="auto"/>
        </w:rPr>
        <w:t>3.</w:t>
      </w:r>
      <w:r>
        <w:rPr>
          <w:rFonts w:hint="eastAsia"/>
          <w:color w:val="auto"/>
        </w:rPr>
        <w:t>智障</w:t>
      </w:r>
      <w:proofErr w:type="gramStart"/>
      <w:r>
        <w:rPr>
          <w:rFonts w:hint="eastAsia"/>
          <w:color w:val="auto"/>
        </w:rPr>
        <w:t>和學障學生</w:t>
      </w:r>
      <w:proofErr w:type="gramEnd"/>
      <w:r>
        <w:rPr>
          <w:rFonts w:hint="eastAsia"/>
          <w:color w:val="auto"/>
        </w:rPr>
        <w:t>務必參考第九項家庭與社區的資料，以避免文化不利所造成的假象。</w:t>
      </w:r>
      <w:r>
        <w:rPr>
          <w:rFonts w:ascii="Times New Roman" w:cs="Times New Roman"/>
          <w:color w:val="auto"/>
        </w:rPr>
        <w:t xml:space="preserve"> </w:t>
      </w:r>
    </w:p>
    <w:p w:rsidR="00684C21" w:rsidRDefault="00684C21" w:rsidP="00684C21">
      <w:pPr>
        <w:pStyle w:val="Default"/>
        <w:ind w:left="770" w:hanging="210"/>
        <w:rPr>
          <w:rFonts w:ascii="Times New Roman" w:cs="Times New Roman"/>
          <w:color w:val="auto"/>
        </w:rPr>
      </w:pPr>
      <w:r>
        <w:rPr>
          <w:rFonts w:ascii="Times New Roman" w:cs="Times New Roman"/>
          <w:color w:val="auto"/>
        </w:rPr>
        <w:t>4.</w:t>
      </w:r>
      <w:r>
        <w:rPr>
          <w:rFonts w:hint="eastAsia"/>
          <w:color w:val="auto"/>
        </w:rPr>
        <w:t>有些學生會有非典型的表現或同時伴隨多種障礙的問題，假設時可以參考各障礙類別的排除關係或各障礙類別之可能性的多寡來考慮。</w:t>
      </w:r>
      <w:r>
        <w:rPr>
          <w:rFonts w:ascii="Times New Roman" w:cs="Times New Roman"/>
          <w:color w:val="auto"/>
        </w:rPr>
        <w:t xml:space="preserve"> </w:t>
      </w:r>
    </w:p>
    <w:p w:rsidR="00684C21" w:rsidRDefault="00684C21">
      <w:pPr>
        <w:pStyle w:val="Default"/>
        <w:numPr>
          <w:ilvl w:val="0"/>
          <w:numId w:val="3"/>
        </w:numPr>
        <w:ind w:left="720" w:hanging="720"/>
        <w:rPr>
          <w:color w:val="auto"/>
          <w:sz w:val="28"/>
          <w:szCs w:val="28"/>
        </w:rPr>
      </w:pPr>
      <w:r>
        <w:rPr>
          <w:rFonts w:cs="Times New Roman"/>
          <w:color w:val="auto"/>
          <w:sz w:val="28"/>
          <w:szCs w:val="28"/>
        </w:rPr>
        <w:br w:type="page"/>
      </w:r>
      <w:r>
        <w:rPr>
          <w:rFonts w:hint="eastAsia"/>
          <w:color w:val="auto"/>
          <w:sz w:val="28"/>
          <w:szCs w:val="28"/>
        </w:rPr>
        <w:lastRenderedPageBreak/>
        <w:t>三、</w:t>
      </w:r>
      <w:r>
        <w:rPr>
          <w:rFonts w:ascii="新細明體" w:eastAsia="新細明體" w:cs="新細明體"/>
          <w:color w:val="auto"/>
          <w:sz w:val="28"/>
          <w:szCs w:val="28"/>
        </w:rPr>
        <w:t xml:space="preserve"> </w:t>
      </w:r>
      <w:r>
        <w:rPr>
          <w:rFonts w:hint="eastAsia"/>
          <w:color w:val="auto"/>
          <w:sz w:val="28"/>
          <w:szCs w:val="28"/>
        </w:rPr>
        <w:t>轉</w:t>
      </w:r>
      <w:proofErr w:type="gramStart"/>
      <w:r>
        <w:rPr>
          <w:rFonts w:hint="eastAsia"/>
          <w:color w:val="auto"/>
          <w:sz w:val="28"/>
          <w:szCs w:val="28"/>
        </w:rPr>
        <w:t>介</w:t>
      </w:r>
      <w:proofErr w:type="gramEnd"/>
      <w:r>
        <w:rPr>
          <w:rFonts w:hint="eastAsia"/>
          <w:color w:val="auto"/>
          <w:sz w:val="28"/>
          <w:szCs w:val="28"/>
        </w:rPr>
        <w:t>表結果之用途</w:t>
      </w:r>
      <w:r>
        <w:rPr>
          <w:color w:val="auto"/>
          <w:sz w:val="28"/>
          <w:szCs w:val="28"/>
        </w:rPr>
        <w:t xml:space="preserve"> </w:t>
      </w:r>
    </w:p>
    <w:p w:rsidR="00684C21" w:rsidRDefault="00684C21" w:rsidP="00684C21">
      <w:pPr>
        <w:pStyle w:val="Default"/>
        <w:ind w:leftChars="300" w:left="720" w:firstLineChars="100" w:firstLine="240"/>
        <w:rPr>
          <w:color w:val="auto"/>
        </w:rPr>
      </w:pPr>
      <w:r>
        <w:rPr>
          <w:rFonts w:hint="eastAsia"/>
          <w:color w:val="auto"/>
        </w:rPr>
        <w:t>本轉</w:t>
      </w:r>
      <w:proofErr w:type="gramStart"/>
      <w:r>
        <w:rPr>
          <w:rFonts w:hint="eastAsia"/>
          <w:color w:val="auto"/>
        </w:rPr>
        <w:t>介</w:t>
      </w:r>
      <w:proofErr w:type="gramEnd"/>
      <w:r>
        <w:rPr>
          <w:rFonts w:hint="eastAsia"/>
          <w:color w:val="auto"/>
        </w:rPr>
        <w:t>表可以作教師轉介資料收集之用，可以</w:t>
      </w:r>
      <w:proofErr w:type="gramStart"/>
      <w:r>
        <w:rPr>
          <w:rFonts w:hint="eastAsia"/>
          <w:color w:val="auto"/>
        </w:rPr>
        <w:t>只看勾</w:t>
      </w:r>
      <w:proofErr w:type="gramEnd"/>
      <w:r>
        <w:rPr>
          <w:rFonts w:hint="eastAsia"/>
          <w:color w:val="auto"/>
        </w:rPr>
        <w:t>選的行為項目，也可以參考計分</w:t>
      </w:r>
      <w:r>
        <w:rPr>
          <w:color w:val="auto"/>
        </w:rPr>
        <w:t xml:space="preserve"> </w:t>
      </w:r>
    </w:p>
    <w:p w:rsidR="00684C21" w:rsidRDefault="00684C21">
      <w:pPr>
        <w:pStyle w:val="Default"/>
        <w:ind w:left="560" w:hanging="560"/>
        <w:rPr>
          <w:rFonts w:ascii="Times New Roman" w:cs="Times New Roman"/>
          <w:color w:val="auto"/>
          <w:sz w:val="28"/>
          <w:szCs w:val="28"/>
        </w:rPr>
      </w:pPr>
      <w:r>
        <w:rPr>
          <w:color w:val="auto"/>
          <w:sz w:val="28"/>
          <w:szCs w:val="28"/>
        </w:rPr>
        <w:t>(</w:t>
      </w:r>
      <w:proofErr w:type="gramStart"/>
      <w:r>
        <w:rPr>
          <w:rFonts w:hint="eastAsia"/>
          <w:color w:val="auto"/>
          <w:sz w:val="28"/>
          <w:szCs w:val="28"/>
        </w:rPr>
        <w:t>一</w:t>
      </w:r>
      <w:proofErr w:type="gramEnd"/>
      <w:r>
        <w:rPr>
          <w:color w:val="auto"/>
          <w:sz w:val="28"/>
          <w:szCs w:val="28"/>
        </w:rPr>
        <w:t>)</w:t>
      </w:r>
      <w:r>
        <w:rPr>
          <w:rFonts w:ascii="Arial" w:hAnsi="Arial" w:cs="Arial"/>
          <w:b/>
          <w:bCs/>
          <w:color w:val="auto"/>
          <w:sz w:val="28"/>
          <w:szCs w:val="28"/>
        </w:rPr>
        <w:t xml:space="preserve"> </w:t>
      </w:r>
      <w:r>
        <w:rPr>
          <w:rFonts w:hAnsi="Arial" w:hint="eastAsia"/>
          <w:color w:val="auto"/>
          <w:sz w:val="28"/>
          <w:szCs w:val="28"/>
        </w:rPr>
        <w:t>計分方式</w:t>
      </w:r>
      <w:r>
        <w:rPr>
          <w:rFonts w:ascii="Times New Roman" w:cs="Times New Roman"/>
          <w:b/>
          <w:bCs/>
          <w:color w:val="auto"/>
          <w:sz w:val="28"/>
          <w:szCs w:val="28"/>
        </w:rPr>
        <w:t xml:space="preserve"> </w:t>
      </w:r>
    </w:p>
    <w:p w:rsidR="00684C21" w:rsidRDefault="00684C21" w:rsidP="00684C21">
      <w:pPr>
        <w:pStyle w:val="Default"/>
        <w:ind w:leftChars="233" w:left="559" w:firstLineChars="175" w:firstLine="420"/>
        <w:rPr>
          <w:rFonts w:ascii="Times New Roman" w:cs="Times New Roman"/>
          <w:color w:val="auto"/>
        </w:rPr>
      </w:pPr>
      <w:r>
        <w:rPr>
          <w:rFonts w:hint="eastAsia"/>
          <w:color w:val="auto"/>
        </w:rPr>
        <w:t>在前頁上表的題目架構可以計算出智能障礙、學習障礙、嚴重情緒障礙、注意力缺陷過動症</w:t>
      </w:r>
      <w:r>
        <w:rPr>
          <w:rFonts w:ascii="Times New Roman" w:cs="Times New Roman"/>
          <w:color w:val="auto"/>
        </w:rPr>
        <w:t>(ADHD)</w:t>
      </w:r>
      <w:r>
        <w:rPr>
          <w:rFonts w:hint="eastAsia"/>
          <w:color w:val="auto"/>
        </w:rPr>
        <w:t>、自閉症等五項懷疑計分。將項目</w:t>
      </w:r>
      <w:proofErr w:type="gramStart"/>
      <w:r>
        <w:rPr>
          <w:rFonts w:hint="eastAsia"/>
          <w:color w:val="auto"/>
        </w:rPr>
        <w:t>各題勾</w:t>
      </w:r>
      <w:proofErr w:type="gramEnd"/>
      <w:r>
        <w:rPr>
          <w:rFonts w:hint="eastAsia"/>
          <w:color w:val="auto"/>
        </w:rPr>
        <w:t>選者計一分，在該項畫線的題號計兩分。可算出總分。</w:t>
      </w:r>
      <w:r>
        <w:rPr>
          <w:rFonts w:ascii="Times New Roman" w:cs="Times New Roman"/>
          <w:color w:val="auto"/>
        </w:rPr>
        <w:t xml:space="preserve"> </w:t>
      </w:r>
    </w:p>
    <w:p w:rsidR="00684C21" w:rsidRDefault="00684C21">
      <w:pPr>
        <w:pStyle w:val="Default"/>
        <w:rPr>
          <w:rFonts w:ascii="Times New Roman" w:cs="Times New Roman"/>
          <w:color w:val="auto"/>
        </w:rPr>
      </w:pPr>
    </w:p>
    <w:tbl>
      <w:tblPr>
        <w:tblW w:w="0" w:type="auto"/>
        <w:tblInd w:w="2370" w:type="dxa"/>
        <w:tblLook w:val="0000" w:firstRow="0" w:lastRow="0" w:firstColumn="0" w:lastColumn="0" w:noHBand="0" w:noVBand="0"/>
      </w:tblPr>
      <w:tblGrid>
        <w:gridCol w:w="1176"/>
        <w:gridCol w:w="1176"/>
        <w:gridCol w:w="1176"/>
        <w:gridCol w:w="1176"/>
        <w:gridCol w:w="910"/>
        <w:gridCol w:w="936"/>
      </w:tblGrid>
      <w:tr w:rsidR="00684C21">
        <w:trPr>
          <w:trHeight w:val="330"/>
        </w:trPr>
        <w:tc>
          <w:tcPr>
            <w:tcW w:w="0" w:type="auto"/>
            <w:tcBorders>
              <w:top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hint="eastAsia"/>
              </w:rPr>
              <w:t>懷疑障礙</w:t>
            </w:r>
            <w:r>
              <w:rPr>
                <w:rFonts w:asci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hint="eastAsia"/>
              </w:rPr>
              <w:t>智能障礙</w:t>
            </w:r>
            <w:r>
              <w:rPr>
                <w:rFonts w:asci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hint="eastAsia"/>
              </w:rPr>
              <w:t>學習障礙</w:t>
            </w:r>
            <w:r>
              <w:rPr>
                <w:rFonts w:asci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hint="eastAsia"/>
              </w:rPr>
              <w:t>情緒障礙</w:t>
            </w:r>
            <w:r>
              <w:rPr>
                <w:rFonts w:asci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ADHD </w:t>
            </w:r>
          </w:p>
        </w:tc>
        <w:tc>
          <w:tcPr>
            <w:tcW w:w="0" w:type="auto"/>
            <w:tcBorders>
              <w:top w:val="single" w:sz="8" w:space="0" w:color="000000"/>
              <w:left w:val="single" w:sz="8" w:space="0" w:color="000000"/>
              <w:bottom w:val="single" w:sz="8" w:space="0" w:color="000000"/>
            </w:tcBorders>
          </w:tcPr>
          <w:p w:rsidR="00684C21" w:rsidRDefault="00684C21">
            <w:pPr>
              <w:pStyle w:val="Default"/>
              <w:rPr>
                <w:rFonts w:ascii="Times New Roman" w:cs="Times New Roman"/>
              </w:rPr>
            </w:pPr>
            <w:r>
              <w:rPr>
                <w:rFonts w:hint="eastAsia"/>
              </w:rPr>
              <w:t>自閉症</w:t>
            </w:r>
            <w:r>
              <w:rPr>
                <w:rFonts w:ascii="Times New Roman" w:cs="Times New Roman"/>
              </w:rPr>
              <w:t xml:space="preserve"> </w:t>
            </w:r>
          </w:p>
        </w:tc>
      </w:tr>
      <w:tr w:rsidR="00684C21">
        <w:trPr>
          <w:trHeight w:val="330"/>
        </w:trPr>
        <w:tc>
          <w:tcPr>
            <w:tcW w:w="0" w:type="auto"/>
            <w:tcBorders>
              <w:top w:val="single" w:sz="8" w:space="0" w:color="000000"/>
              <w:bottom w:val="single" w:sz="8" w:space="0" w:color="000000"/>
              <w:right w:val="single" w:sz="8" w:space="0" w:color="000000"/>
            </w:tcBorders>
          </w:tcPr>
          <w:p w:rsidR="00684C21" w:rsidRDefault="00684C21">
            <w:pPr>
              <w:pStyle w:val="Default"/>
              <w:rPr>
                <w:rFonts w:ascii="Times New Roman" w:cs="Times New Roman"/>
              </w:rPr>
            </w:pPr>
            <w:proofErr w:type="gramStart"/>
            <w:r>
              <w:rPr>
                <w:rFonts w:hint="eastAsia"/>
              </w:rPr>
              <w:t>總題數</w:t>
            </w:r>
            <w:proofErr w:type="gramEnd"/>
            <w:r>
              <w:rPr>
                <w:rFonts w:asci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20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16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14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11 </w:t>
            </w:r>
          </w:p>
        </w:tc>
        <w:tc>
          <w:tcPr>
            <w:tcW w:w="0" w:type="auto"/>
            <w:tcBorders>
              <w:top w:val="single" w:sz="8" w:space="0" w:color="000000"/>
              <w:left w:val="single" w:sz="8" w:space="0" w:color="000000"/>
              <w:bottom w:val="single" w:sz="8" w:space="0" w:color="000000"/>
            </w:tcBorders>
          </w:tcPr>
          <w:p w:rsidR="00684C21" w:rsidRDefault="00684C21">
            <w:pPr>
              <w:pStyle w:val="Default"/>
              <w:rPr>
                <w:rFonts w:ascii="Times New Roman" w:cs="Times New Roman"/>
              </w:rPr>
            </w:pPr>
            <w:r>
              <w:rPr>
                <w:rFonts w:ascii="Times New Roman" w:cs="Times New Roman"/>
              </w:rPr>
              <w:t xml:space="preserve">25 </w:t>
            </w:r>
          </w:p>
        </w:tc>
      </w:tr>
      <w:tr w:rsidR="00684C21">
        <w:trPr>
          <w:trHeight w:val="330"/>
        </w:trPr>
        <w:tc>
          <w:tcPr>
            <w:tcW w:w="0" w:type="auto"/>
            <w:tcBorders>
              <w:top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hint="eastAsia"/>
              </w:rPr>
              <w:t>總分</w:t>
            </w:r>
            <w:r>
              <w:rPr>
                <w:rFonts w:asci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26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21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20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11 </w:t>
            </w:r>
          </w:p>
        </w:tc>
        <w:tc>
          <w:tcPr>
            <w:tcW w:w="0" w:type="auto"/>
            <w:tcBorders>
              <w:top w:val="single" w:sz="8" w:space="0" w:color="000000"/>
              <w:left w:val="single" w:sz="8" w:space="0" w:color="000000"/>
              <w:bottom w:val="single" w:sz="8" w:space="0" w:color="000000"/>
            </w:tcBorders>
          </w:tcPr>
          <w:p w:rsidR="00684C21" w:rsidRDefault="00684C21">
            <w:pPr>
              <w:pStyle w:val="Default"/>
              <w:rPr>
                <w:rFonts w:ascii="Times New Roman" w:cs="Times New Roman"/>
              </w:rPr>
            </w:pPr>
            <w:r>
              <w:rPr>
                <w:rFonts w:ascii="Times New Roman" w:cs="Times New Roman"/>
              </w:rPr>
              <w:t xml:space="preserve">38 </w:t>
            </w:r>
          </w:p>
        </w:tc>
      </w:tr>
      <w:tr w:rsidR="00684C21">
        <w:trPr>
          <w:trHeight w:val="330"/>
        </w:trPr>
        <w:tc>
          <w:tcPr>
            <w:tcW w:w="0" w:type="auto"/>
            <w:tcBorders>
              <w:top w:val="single" w:sz="8" w:space="0" w:color="000000"/>
              <w:bottom w:val="single" w:sz="8" w:space="0" w:color="000000"/>
              <w:right w:val="single" w:sz="8" w:space="0" w:color="000000"/>
            </w:tcBorders>
          </w:tcPr>
          <w:p w:rsidR="00684C21" w:rsidRDefault="00684C21">
            <w:pPr>
              <w:pStyle w:val="Default"/>
              <w:rPr>
                <w:rFonts w:ascii="Times New Roman" w:cs="Times New Roman"/>
              </w:rPr>
            </w:pPr>
            <w:proofErr w:type="gramStart"/>
            <w:r>
              <w:rPr>
                <w:rFonts w:hint="eastAsia"/>
              </w:rPr>
              <w:t>切截分數</w:t>
            </w:r>
            <w:proofErr w:type="gramEnd"/>
            <w:r>
              <w:rPr>
                <w:rFonts w:asci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6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6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4 </w:t>
            </w:r>
          </w:p>
        </w:tc>
        <w:tc>
          <w:tcPr>
            <w:tcW w:w="0" w:type="auto"/>
            <w:tcBorders>
              <w:top w:val="single" w:sz="8" w:space="0" w:color="000000"/>
              <w:left w:val="single" w:sz="8" w:space="0" w:color="000000"/>
              <w:bottom w:val="single" w:sz="8" w:space="0" w:color="000000"/>
              <w:right w:val="single" w:sz="8" w:space="0" w:color="000000"/>
            </w:tcBorders>
          </w:tcPr>
          <w:p w:rsidR="00684C21" w:rsidRDefault="00684C21">
            <w:pPr>
              <w:pStyle w:val="Default"/>
              <w:rPr>
                <w:rFonts w:ascii="Times New Roman" w:cs="Times New Roman"/>
              </w:rPr>
            </w:pPr>
            <w:r>
              <w:rPr>
                <w:rFonts w:ascii="Times New Roman" w:cs="Times New Roman"/>
              </w:rPr>
              <w:t xml:space="preserve">4 </w:t>
            </w:r>
          </w:p>
        </w:tc>
        <w:tc>
          <w:tcPr>
            <w:tcW w:w="0" w:type="auto"/>
            <w:tcBorders>
              <w:top w:val="single" w:sz="8" w:space="0" w:color="000000"/>
              <w:left w:val="single" w:sz="8" w:space="0" w:color="000000"/>
              <w:bottom w:val="single" w:sz="8" w:space="0" w:color="000000"/>
            </w:tcBorders>
          </w:tcPr>
          <w:p w:rsidR="00684C21" w:rsidRDefault="00684C21">
            <w:pPr>
              <w:pStyle w:val="Default"/>
              <w:rPr>
                <w:rFonts w:ascii="Times New Roman" w:cs="Times New Roman"/>
              </w:rPr>
            </w:pPr>
            <w:r>
              <w:rPr>
                <w:rFonts w:ascii="Times New Roman" w:cs="Times New Roman"/>
              </w:rPr>
              <w:t xml:space="preserve">6 </w:t>
            </w:r>
          </w:p>
        </w:tc>
      </w:tr>
    </w:tbl>
    <w:p w:rsidR="00684C21" w:rsidRDefault="00684C21" w:rsidP="00684C21">
      <w:pPr>
        <w:pStyle w:val="Default"/>
        <w:rPr>
          <w:color w:val="auto"/>
        </w:rPr>
      </w:pPr>
      <w:r>
        <w:rPr>
          <w:color w:val="auto"/>
        </w:rPr>
        <w:t xml:space="preserve"> </w:t>
      </w:r>
    </w:p>
    <w:p w:rsidR="00684C21" w:rsidRDefault="00684C21">
      <w:pPr>
        <w:pStyle w:val="Default"/>
        <w:rPr>
          <w:color w:val="auto"/>
          <w:sz w:val="28"/>
          <w:szCs w:val="28"/>
        </w:rPr>
      </w:pPr>
      <w:r>
        <w:rPr>
          <w:rFonts w:hint="eastAsia"/>
          <w:color w:val="auto"/>
          <w:sz w:val="28"/>
          <w:szCs w:val="28"/>
        </w:rPr>
        <w:t>（二）使用原則</w:t>
      </w:r>
      <w:r>
        <w:rPr>
          <w:color w:val="auto"/>
          <w:sz w:val="28"/>
          <w:szCs w:val="28"/>
        </w:rPr>
        <w:t xml:space="preserve"> </w:t>
      </w:r>
    </w:p>
    <w:p w:rsidR="00684C21" w:rsidRDefault="00684C21" w:rsidP="00684C21">
      <w:pPr>
        <w:pStyle w:val="Default"/>
        <w:numPr>
          <w:ilvl w:val="0"/>
          <w:numId w:val="4"/>
        </w:numPr>
        <w:ind w:left="602" w:firstLine="350"/>
        <w:rPr>
          <w:rFonts w:hAnsi="Arial"/>
          <w:color w:val="auto"/>
        </w:rPr>
      </w:pPr>
      <w:r>
        <w:rPr>
          <w:rFonts w:ascii="Arial" w:hAnsi="Arial" w:cs="Arial"/>
          <w:color w:val="auto"/>
        </w:rPr>
        <w:t xml:space="preserve"> </w:t>
      </w:r>
      <w:r>
        <w:rPr>
          <w:rFonts w:hAnsi="Arial" w:hint="eastAsia"/>
          <w:color w:val="auto"/>
        </w:rPr>
        <w:t>由完整的表現</w:t>
      </w:r>
      <w:proofErr w:type="gramStart"/>
      <w:r>
        <w:rPr>
          <w:rFonts w:hAnsi="Arial" w:hint="eastAsia"/>
          <w:color w:val="auto"/>
        </w:rPr>
        <w:t>（</w:t>
      </w:r>
      <w:proofErr w:type="gramEnd"/>
      <w:r>
        <w:rPr>
          <w:rFonts w:hAnsi="Arial" w:hint="eastAsia"/>
          <w:color w:val="auto"/>
        </w:rPr>
        <w:t>包括生理、認知、情緒（心理）、行為表現、學業適應與家庭）</w:t>
      </w:r>
      <w:proofErr w:type="gramStart"/>
      <w:r>
        <w:rPr>
          <w:rFonts w:hAnsi="Arial" w:hint="eastAsia"/>
          <w:color w:val="auto"/>
        </w:rPr>
        <w:t>去篩</w:t>
      </w:r>
      <w:proofErr w:type="gramEnd"/>
      <w:r>
        <w:rPr>
          <w:rFonts w:hAnsi="Arial" w:hint="eastAsia"/>
          <w:color w:val="auto"/>
        </w:rPr>
        <w:t>檢出高危險群的類別，再根據可能的類別和勾選的項目去擬定鑑定所需之評量工作，利用訪談、觀察與相關測驗等，以免過度先入僵化的判斷。</w:t>
      </w:r>
      <w:r>
        <w:rPr>
          <w:rFonts w:hAnsi="Arial"/>
          <w:color w:val="auto"/>
        </w:rPr>
        <w:t xml:space="preserve"> </w:t>
      </w:r>
    </w:p>
    <w:p w:rsidR="00684C21" w:rsidRDefault="00684C21" w:rsidP="00684C21">
      <w:pPr>
        <w:pStyle w:val="Default"/>
        <w:numPr>
          <w:ilvl w:val="0"/>
          <w:numId w:val="4"/>
        </w:numPr>
        <w:ind w:left="602" w:firstLine="350"/>
        <w:rPr>
          <w:rFonts w:hAnsi="Arial"/>
          <w:color w:val="auto"/>
        </w:rPr>
      </w:pPr>
      <w:r>
        <w:rPr>
          <w:rFonts w:ascii="Arial" w:hAnsi="Arial" w:cs="Arial"/>
          <w:color w:val="auto"/>
        </w:rPr>
        <w:t xml:space="preserve"> </w:t>
      </w:r>
      <w:proofErr w:type="gramStart"/>
      <w:r>
        <w:rPr>
          <w:rFonts w:hAnsi="Arial" w:hint="eastAsia"/>
          <w:color w:val="auto"/>
        </w:rPr>
        <w:t>本量表</w:t>
      </w:r>
      <w:proofErr w:type="gramEnd"/>
      <w:r>
        <w:rPr>
          <w:rFonts w:hAnsi="Arial" w:hint="eastAsia"/>
          <w:color w:val="auto"/>
        </w:rPr>
        <w:t>所提供資料除了計分之外，各項勾選題目可提供學生行為表現之資料。</w:t>
      </w:r>
      <w:r>
        <w:rPr>
          <w:rFonts w:hAnsi="Arial"/>
          <w:color w:val="auto"/>
        </w:rPr>
        <w:t xml:space="preserve"> </w:t>
      </w:r>
    </w:p>
    <w:p w:rsidR="00684C21" w:rsidRDefault="00684C21" w:rsidP="00684C21">
      <w:pPr>
        <w:pStyle w:val="Default"/>
        <w:numPr>
          <w:ilvl w:val="0"/>
          <w:numId w:val="4"/>
        </w:numPr>
        <w:ind w:left="602" w:firstLine="350"/>
        <w:rPr>
          <w:rFonts w:hAnsi="Arial"/>
          <w:color w:val="auto"/>
        </w:rPr>
      </w:pPr>
      <w:r>
        <w:rPr>
          <w:rFonts w:ascii="Arial" w:hAnsi="Arial" w:cs="Arial"/>
          <w:color w:val="auto"/>
        </w:rPr>
        <w:t xml:space="preserve"> </w:t>
      </w:r>
      <w:r>
        <w:rPr>
          <w:rFonts w:hAnsi="Arial" w:hint="eastAsia"/>
          <w:color w:val="auto"/>
        </w:rPr>
        <w:t>多向度的資料提供學生之優缺點，尤其是與一般學生比較下最明顯的問題或是與一般同學不明顯的差異（即學生尚有之優勢能力），以及家庭社區的相關資料，可以提供完整式（多向度）的綜合性診斷之參考。</w:t>
      </w:r>
      <w:r>
        <w:rPr>
          <w:rFonts w:hAnsi="Arial"/>
          <w:color w:val="auto"/>
        </w:rPr>
        <w:t xml:space="preserve"> </w:t>
      </w:r>
    </w:p>
    <w:p w:rsidR="00684C21" w:rsidRDefault="00684C21">
      <w:pPr>
        <w:pStyle w:val="Default"/>
        <w:rPr>
          <w:rFonts w:hAnsi="Arial" w:cs="Times New Roman"/>
          <w:color w:val="auto"/>
        </w:rPr>
      </w:pPr>
    </w:p>
    <w:p w:rsidR="00684C21" w:rsidRDefault="00684C21">
      <w:pPr>
        <w:pStyle w:val="Default"/>
        <w:rPr>
          <w:rFonts w:hAnsi="Arial" w:cs="Times New Roman"/>
          <w:color w:val="auto"/>
        </w:rPr>
      </w:pPr>
    </w:p>
    <w:p w:rsidR="00684C21" w:rsidRDefault="00684C21">
      <w:pPr>
        <w:pStyle w:val="Default"/>
        <w:rPr>
          <w:rFonts w:hAnsi="Arial"/>
          <w:color w:val="auto"/>
          <w:sz w:val="28"/>
          <w:szCs w:val="28"/>
        </w:rPr>
      </w:pPr>
      <w:r>
        <w:rPr>
          <w:rFonts w:hAnsi="Arial" w:hint="eastAsia"/>
          <w:color w:val="auto"/>
          <w:sz w:val="28"/>
          <w:szCs w:val="28"/>
        </w:rPr>
        <w:t>四、實施方式與注意事項</w:t>
      </w:r>
      <w:r>
        <w:rPr>
          <w:rFonts w:hAnsi="Arial"/>
          <w:color w:val="auto"/>
          <w:sz w:val="28"/>
          <w:szCs w:val="28"/>
        </w:rPr>
        <w:t xml:space="preserve"> </w:t>
      </w:r>
    </w:p>
    <w:p w:rsidR="00684C21" w:rsidRDefault="00684C21" w:rsidP="00684C21">
      <w:pPr>
        <w:pStyle w:val="Default"/>
        <w:numPr>
          <w:ilvl w:val="0"/>
          <w:numId w:val="5"/>
        </w:numPr>
        <w:ind w:left="826" w:hanging="210"/>
        <w:rPr>
          <w:rFonts w:hAnsi="Arial"/>
          <w:color w:val="auto"/>
        </w:rPr>
      </w:pPr>
      <w:r>
        <w:rPr>
          <w:rFonts w:hAnsi="Arial"/>
          <w:color w:val="auto"/>
        </w:rPr>
        <w:t>1.</w:t>
      </w:r>
      <w:r>
        <w:rPr>
          <w:rFonts w:hAnsi="Arial" w:hint="eastAsia"/>
          <w:color w:val="auto"/>
        </w:rPr>
        <w:t>本轉</w:t>
      </w:r>
      <w:proofErr w:type="gramStart"/>
      <w:r>
        <w:rPr>
          <w:rFonts w:hAnsi="Arial" w:hint="eastAsia"/>
          <w:color w:val="auto"/>
        </w:rPr>
        <w:t>介</w:t>
      </w:r>
      <w:proofErr w:type="gramEnd"/>
      <w:r>
        <w:rPr>
          <w:rFonts w:hAnsi="Arial" w:hint="eastAsia"/>
          <w:color w:val="auto"/>
        </w:rPr>
        <w:t>表可直接交由轉介教師或家長填寫，或是利用訪談方式綜合大家的意見填寫</w:t>
      </w:r>
      <w:r>
        <w:rPr>
          <w:rFonts w:hAnsi="Arial"/>
          <w:color w:val="auto"/>
        </w:rPr>
        <w:t xml:space="preserve"> </w:t>
      </w:r>
    </w:p>
    <w:p w:rsidR="00684C21" w:rsidRDefault="00684C21" w:rsidP="00684C21">
      <w:pPr>
        <w:pStyle w:val="Default"/>
        <w:numPr>
          <w:ilvl w:val="0"/>
          <w:numId w:val="5"/>
        </w:numPr>
        <w:ind w:left="826" w:hanging="210"/>
        <w:rPr>
          <w:rFonts w:ascii="Times New Roman" w:cs="Times New Roman"/>
          <w:color w:val="auto"/>
        </w:rPr>
      </w:pPr>
      <w:r>
        <w:rPr>
          <w:rFonts w:ascii="Times New Roman" w:cs="Times New Roman"/>
          <w:color w:val="auto"/>
        </w:rPr>
        <w:t>2.</w:t>
      </w:r>
      <w:r>
        <w:rPr>
          <w:rFonts w:hAnsi="Arial" w:hint="eastAsia"/>
          <w:color w:val="auto"/>
        </w:rPr>
        <w:t>本轉</w:t>
      </w:r>
      <w:proofErr w:type="gramStart"/>
      <w:r>
        <w:rPr>
          <w:rFonts w:hAnsi="Arial" w:hint="eastAsia"/>
          <w:color w:val="auto"/>
        </w:rPr>
        <w:t>介</w:t>
      </w:r>
      <w:proofErr w:type="gramEnd"/>
      <w:r>
        <w:rPr>
          <w:rFonts w:hAnsi="Arial" w:hint="eastAsia"/>
          <w:color w:val="auto"/>
        </w:rPr>
        <w:t>表之資料宜結合標準化測驗或觀察、訪談等非正式評量結果，進行個案綜合研判，可以供疑似障礙的懷疑，或是供疑似障礙的排除。</w:t>
      </w:r>
      <w:r>
        <w:rPr>
          <w:rFonts w:ascii="Times New Roman" w:cs="Times New Roman"/>
          <w:color w:val="auto"/>
        </w:rPr>
        <w:t xml:space="preserve"> </w:t>
      </w:r>
    </w:p>
    <w:p w:rsidR="00684C21" w:rsidRDefault="00684C21" w:rsidP="00684C21">
      <w:pPr>
        <w:pStyle w:val="Default"/>
        <w:numPr>
          <w:ilvl w:val="0"/>
          <w:numId w:val="5"/>
        </w:numPr>
        <w:ind w:left="826" w:hanging="210"/>
        <w:rPr>
          <w:rFonts w:ascii="Times New Roman" w:cs="Times New Roman"/>
          <w:color w:val="auto"/>
        </w:rPr>
      </w:pPr>
      <w:r>
        <w:rPr>
          <w:rFonts w:ascii="Times New Roman" w:cs="Times New Roman"/>
          <w:color w:val="auto"/>
        </w:rPr>
        <w:t>3.</w:t>
      </w:r>
      <w:r>
        <w:rPr>
          <w:rFonts w:hAnsi="Arial" w:hint="eastAsia"/>
          <w:color w:val="auto"/>
          <w:u w:val="single"/>
        </w:rPr>
        <w:t>如果轉</w:t>
      </w:r>
      <w:proofErr w:type="gramStart"/>
      <w:r>
        <w:rPr>
          <w:rFonts w:hAnsi="Arial" w:hint="eastAsia"/>
          <w:color w:val="auto"/>
          <w:u w:val="single"/>
        </w:rPr>
        <w:t>介</w:t>
      </w:r>
      <w:proofErr w:type="gramEnd"/>
      <w:r>
        <w:rPr>
          <w:rFonts w:hAnsi="Arial" w:hint="eastAsia"/>
          <w:color w:val="auto"/>
          <w:u w:val="single"/>
        </w:rPr>
        <w:t>表空白過多，連網底題目都（超過三項）也沒有填寫</w:t>
      </w:r>
      <w:r>
        <w:rPr>
          <w:rFonts w:hAnsi="Arial" w:hint="eastAsia"/>
          <w:color w:val="auto"/>
        </w:rPr>
        <w:t>，務必懷疑填寫者的合作程度與資料的可信度。</w:t>
      </w:r>
      <w:r>
        <w:rPr>
          <w:rFonts w:ascii="Times New Roman" w:cs="Times New Roman"/>
          <w:color w:val="auto"/>
        </w:rPr>
        <w:t xml:space="preserve"> </w:t>
      </w:r>
    </w:p>
    <w:p w:rsidR="00684C21" w:rsidRDefault="00684C21" w:rsidP="00684C21">
      <w:pPr>
        <w:pStyle w:val="Default"/>
        <w:numPr>
          <w:ilvl w:val="0"/>
          <w:numId w:val="5"/>
        </w:numPr>
        <w:ind w:left="826" w:hanging="210"/>
        <w:rPr>
          <w:rFonts w:ascii="Times New Roman" w:cs="Times New Roman"/>
          <w:color w:val="auto"/>
        </w:rPr>
      </w:pPr>
      <w:r>
        <w:rPr>
          <w:rFonts w:ascii="Times New Roman" w:cs="Times New Roman"/>
          <w:color w:val="auto"/>
        </w:rPr>
        <w:t>4.</w:t>
      </w:r>
      <w:r>
        <w:rPr>
          <w:rFonts w:hAnsi="Arial" w:hint="eastAsia"/>
          <w:color w:val="auto"/>
        </w:rPr>
        <w:t>如果勾選的項目過少或是項目內容與轉</w:t>
      </w:r>
      <w:proofErr w:type="gramStart"/>
      <w:r>
        <w:rPr>
          <w:rFonts w:hAnsi="Arial" w:hint="eastAsia"/>
          <w:color w:val="auto"/>
        </w:rPr>
        <w:t>介</w:t>
      </w:r>
      <w:proofErr w:type="gramEnd"/>
      <w:r>
        <w:rPr>
          <w:rFonts w:hAnsi="Arial" w:hint="eastAsia"/>
          <w:color w:val="auto"/>
        </w:rPr>
        <w:t>的緣由不太一致時，建議利用訪談的方式重新</w:t>
      </w:r>
      <w:proofErr w:type="gramStart"/>
      <w:r>
        <w:rPr>
          <w:rFonts w:hAnsi="Arial" w:hint="eastAsia"/>
          <w:color w:val="auto"/>
        </w:rPr>
        <w:t>確認本量</w:t>
      </w:r>
      <w:proofErr w:type="gramEnd"/>
      <w:r>
        <w:rPr>
          <w:rFonts w:hAnsi="Arial" w:hint="eastAsia"/>
          <w:color w:val="auto"/>
        </w:rPr>
        <w:t>表所提供的資料之正確性。</w:t>
      </w:r>
      <w:r>
        <w:rPr>
          <w:rFonts w:ascii="Times New Roman" w:cs="Times New Roman"/>
          <w:color w:val="auto"/>
        </w:rPr>
        <w:t xml:space="preserve"> </w:t>
      </w:r>
    </w:p>
    <w:p w:rsidR="00684C21" w:rsidRDefault="00684C21" w:rsidP="00684C21">
      <w:pPr>
        <w:pStyle w:val="Default"/>
        <w:numPr>
          <w:ilvl w:val="0"/>
          <w:numId w:val="5"/>
        </w:numPr>
        <w:ind w:left="826" w:hanging="210"/>
        <w:rPr>
          <w:rFonts w:ascii="Times New Roman" w:cs="Times New Roman"/>
          <w:color w:val="auto"/>
        </w:rPr>
      </w:pPr>
      <w:r>
        <w:rPr>
          <w:rFonts w:ascii="Times New Roman" w:cs="Times New Roman"/>
          <w:color w:val="auto"/>
        </w:rPr>
        <w:t>5.</w:t>
      </w:r>
      <w:r>
        <w:rPr>
          <w:rFonts w:hAnsi="Arial" w:hint="eastAsia"/>
          <w:color w:val="auto"/>
        </w:rPr>
        <w:t>本轉</w:t>
      </w:r>
      <w:proofErr w:type="gramStart"/>
      <w:r>
        <w:rPr>
          <w:rFonts w:hAnsi="Arial" w:hint="eastAsia"/>
          <w:color w:val="auto"/>
        </w:rPr>
        <w:t>介表乃</w:t>
      </w:r>
      <w:proofErr w:type="gramEnd"/>
      <w:r>
        <w:rPr>
          <w:rFonts w:hAnsi="Arial" w:hint="eastAsia"/>
          <w:color w:val="auto"/>
        </w:rPr>
        <w:t>利用國中學生鑑定工作經驗所發展，所得項目比較適合小五到國中的學生，小五以下建議使用另一份兒童版</w:t>
      </w:r>
      <w:r>
        <w:rPr>
          <w:rFonts w:hAnsi="Arial"/>
          <w:color w:val="auto"/>
        </w:rPr>
        <w:t>(CG14)</w:t>
      </w:r>
      <w:r>
        <w:rPr>
          <w:rFonts w:hAnsi="Arial" w:hint="eastAsia"/>
          <w:color w:val="auto"/>
        </w:rPr>
        <w:t>。</w:t>
      </w:r>
      <w:r>
        <w:rPr>
          <w:rFonts w:ascii="Times New Roman" w:cs="Times New Roman"/>
          <w:color w:val="auto"/>
        </w:rPr>
        <w:t xml:space="preserve"> </w:t>
      </w:r>
    </w:p>
    <w:p w:rsidR="00684C21" w:rsidRDefault="00684C21" w:rsidP="00684C21">
      <w:pPr>
        <w:pStyle w:val="Default"/>
        <w:ind w:left="826" w:hanging="238"/>
        <w:rPr>
          <w:rFonts w:ascii="Times New Roman" w:cs="Times New Roman"/>
          <w:color w:val="auto"/>
        </w:rPr>
      </w:pPr>
    </w:p>
    <w:p w:rsidR="00684C21" w:rsidRDefault="00684C21">
      <w:pPr>
        <w:pStyle w:val="Default"/>
        <w:rPr>
          <w:rFonts w:ascii="Times New Roman" w:cs="Times New Roman"/>
          <w:sz w:val="28"/>
          <w:szCs w:val="28"/>
        </w:rPr>
        <w:sectPr w:rsidR="00684C21" w:rsidSect="00684C21">
          <w:pgSz w:w="12240" w:h="15840"/>
          <w:pgMar w:top="567" w:right="964" w:bottom="567" w:left="964" w:header="720" w:footer="720" w:gutter="0"/>
          <w:cols w:space="720"/>
          <w:noEndnote/>
        </w:sectPr>
      </w:pPr>
      <w:r>
        <w:rPr>
          <w:rFonts w:hint="eastAsia"/>
          <w:color w:val="auto"/>
          <w:sz w:val="28"/>
          <w:szCs w:val="28"/>
        </w:rPr>
        <w:t>五、本調查表可於洪儷</w:t>
      </w:r>
      <w:proofErr w:type="gramStart"/>
      <w:r>
        <w:rPr>
          <w:rFonts w:hint="eastAsia"/>
          <w:color w:val="auto"/>
          <w:sz w:val="28"/>
          <w:szCs w:val="28"/>
        </w:rPr>
        <w:t>瑜</w:t>
      </w:r>
      <w:proofErr w:type="gramEnd"/>
      <w:r>
        <w:rPr>
          <w:rFonts w:hint="eastAsia"/>
          <w:color w:val="auto"/>
          <w:sz w:val="28"/>
          <w:szCs w:val="28"/>
        </w:rPr>
        <w:t>個人網站下載，</w:t>
      </w:r>
      <w:hyperlink r:id="rId5" w:history="1">
        <w:r>
          <w:rPr>
            <w:rFonts w:ascii="Times New Roman" w:cs="Times New Roman"/>
            <w:color w:val="0000FF"/>
            <w:u w:val="single"/>
          </w:rPr>
          <w:t>http://web.cc.ntnu.edu.tw/~t14010</w:t>
        </w:r>
      </w:hyperlink>
      <w:r>
        <w:rPr>
          <w:rFonts w:hint="eastAsia"/>
          <w:sz w:val="28"/>
          <w:szCs w:val="28"/>
        </w:rPr>
        <w:t>。</w:t>
      </w:r>
      <w:r>
        <w:rPr>
          <w:rFonts w:ascii="Times New Roman" w:cs="Times New Roman"/>
          <w:sz w:val="28"/>
          <w:szCs w:val="28"/>
        </w:rPr>
        <w:t xml:space="preserve"> </w:t>
      </w:r>
    </w:p>
    <w:p w:rsidR="00684C21" w:rsidRDefault="00684C21">
      <w:pPr>
        <w:pStyle w:val="Default"/>
        <w:rPr>
          <w:rFonts w:cs="Times New Roman"/>
          <w:color w:val="auto"/>
        </w:rPr>
      </w:pPr>
    </w:p>
    <w:sectPr w:rsidR="00684C21">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213E3A"/>
    <w:multiLevelType w:val="hybridMultilevel"/>
    <w:tmpl w:val="FF8FB7C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99DE92"/>
    <w:multiLevelType w:val="hybridMultilevel"/>
    <w:tmpl w:val="006C0C9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6FD6C1"/>
    <w:multiLevelType w:val="hybridMultilevel"/>
    <w:tmpl w:val="A329C27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190DD8"/>
    <w:multiLevelType w:val="hybridMultilevel"/>
    <w:tmpl w:val="CDD806A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0EEE35"/>
    <w:multiLevelType w:val="hybridMultilevel"/>
    <w:tmpl w:val="C16CE4C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21"/>
    <w:rsid w:val="000F5C07"/>
    <w:rsid w:val="00442CB1"/>
    <w:rsid w:val="00546813"/>
    <w:rsid w:val="005F0067"/>
    <w:rsid w:val="00684C21"/>
    <w:rsid w:val="00747689"/>
    <w:rsid w:val="00CB65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CD7968-AEEC-4AF7-806B-716FA27B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eb.cc.ntnu.edu.tw/%7Et14010"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1504</Characters>
  <Application>Microsoft Office Word</Application>
  <DocSecurity>0</DocSecurity>
  <Lines>12</Lines>
  <Paragraphs>3</Paragraphs>
  <ScaleCrop>false</ScaleCrop>
  <Company>CMT</Company>
  <LinksUpToDate>false</LinksUpToDate>
  <CharactersWithSpaces>1764</CharactersWithSpaces>
  <SharedDoc>false</SharedDoc>
  <HLinks>
    <vt:vector size="6" baseType="variant">
      <vt:variant>
        <vt:i4>4718669</vt:i4>
      </vt:variant>
      <vt:variant>
        <vt:i4>0</vt:i4>
      </vt:variant>
      <vt:variant>
        <vt:i4>0</vt:i4>
      </vt:variant>
      <vt:variant>
        <vt:i4>5</vt:i4>
      </vt:variant>
      <vt:variant>
        <vt:lpwstr>http://web.cc.ntnu.edu.tw/~t14010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『特殊需求學生轉介資料表』使用說明</dc:title>
  <dc:subject/>
  <dc:creator>洪儷瑜</dc:creator>
  <cp:keywords/>
  <cp:lastModifiedBy>Pubuser</cp:lastModifiedBy>
  <cp:revision>2</cp:revision>
  <dcterms:created xsi:type="dcterms:W3CDTF">2021-09-22T01:16:00Z</dcterms:created>
  <dcterms:modified xsi:type="dcterms:W3CDTF">2021-09-22T01:16:00Z</dcterms:modified>
</cp:coreProperties>
</file>